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80EB0">
      <w:pPr>
        <w:tabs>
          <w:tab w:val="left" w:pos="4500"/>
          <w:tab w:val="left" w:pos="7200"/>
        </w:tabs>
        <w:spacing w:before="312" w:beforeLines="100" w:after="312" w:afterLines="100" w:line="360" w:lineRule="auto"/>
        <w:jc w:val="center"/>
        <w:rPr>
          <w:rFonts w:hint="eastAsia" w:ascii="黑体" w:hAnsi="黑体" w:eastAsia="黑体"/>
          <w:b/>
          <w:sz w:val="36"/>
          <w:szCs w:val="36"/>
        </w:rPr>
      </w:pPr>
      <w:r>
        <w:rPr>
          <w:rFonts w:hint="eastAsia" w:ascii="宋体" w:hAnsi="宋体"/>
          <w:b/>
          <w:sz w:val="36"/>
          <w:szCs w:val="36"/>
        </w:rPr>
        <w:t>2026年产品合作</w:t>
      </w:r>
      <w:r>
        <w:rPr>
          <w:rFonts w:ascii="宋体" w:hAnsi="宋体"/>
          <w:b/>
          <w:sz w:val="36"/>
          <w:szCs w:val="36"/>
        </w:rPr>
        <w:t>协议</w:t>
      </w:r>
    </w:p>
    <w:p w14:paraId="42A17D13">
      <w:pPr>
        <w:spacing w:line="360" w:lineRule="auto"/>
        <w:ind w:firstLine="480" w:firstLineChars="200"/>
        <w:rPr>
          <w:rFonts w:hint="eastAsia" w:ascii="宋体" w:hAnsi="宋体"/>
          <w:sz w:val="24"/>
          <w:szCs w:val="24"/>
          <w:u w:val="single"/>
        </w:rPr>
      </w:pPr>
      <w:bookmarkStart w:id="0" w:name="OLE_LINK4"/>
      <w:r>
        <w:rPr>
          <w:rFonts w:hint="eastAsia" w:ascii="宋体" w:hAnsi="宋体"/>
          <w:sz w:val="24"/>
          <w:szCs w:val="24"/>
        </w:rPr>
        <w:t>甲方：</w:t>
      </w:r>
      <w:r>
        <w:rPr>
          <w:rFonts w:hint="eastAsia" w:ascii="宋体" w:hAnsi="宋体"/>
          <w:sz w:val="24"/>
          <w:szCs w:val="24"/>
          <w:u w:val="single"/>
        </w:rPr>
        <w:t>重庆海斯曼药业有限责任公司</w:t>
      </w:r>
    </w:p>
    <w:p w14:paraId="5263691B">
      <w:pPr>
        <w:spacing w:before="156" w:beforeLines="50" w:line="360" w:lineRule="auto"/>
        <w:ind w:firstLine="480" w:firstLineChars="200"/>
        <w:rPr>
          <w:rFonts w:hint="eastAsia" w:ascii="宋体" w:hAnsi="宋体"/>
          <w:color w:val="FF0000"/>
          <w:sz w:val="24"/>
          <w:szCs w:val="24"/>
        </w:rPr>
      </w:pPr>
      <w:r>
        <w:rPr>
          <w:rFonts w:hint="eastAsia" w:ascii="宋体" w:hAnsi="宋体"/>
          <w:sz w:val="24"/>
          <w:szCs w:val="24"/>
        </w:rPr>
        <w:t>乙方：</w:t>
      </w:r>
      <w:r>
        <w:rPr>
          <w:rFonts w:hint="eastAsia" w:ascii="宋体" w:hAnsi="宋体"/>
          <w:color w:val="000000" w:themeColor="text1"/>
          <w:sz w:val="24"/>
          <w:szCs w:val="24"/>
          <w:u w:val="single"/>
          <w14:textFill>
            <w14:solidFill>
              <w14:schemeClr w14:val="tx1"/>
            </w14:solidFill>
          </w14:textFill>
        </w:rPr>
        <w:t>xxx医药连锁集团股份有限公司</w:t>
      </w:r>
    </w:p>
    <w:p w14:paraId="02F8136B">
      <w:pPr>
        <w:spacing w:line="360" w:lineRule="auto"/>
        <w:ind w:firstLine="420"/>
        <w:rPr>
          <w:rFonts w:hint="eastAsia" w:ascii="微软雅黑" w:hAnsi="微软雅黑" w:eastAsia="微软雅黑"/>
          <w:sz w:val="20"/>
          <w:szCs w:val="20"/>
        </w:rPr>
      </w:pPr>
      <w:r>
        <w:rPr>
          <w:rFonts w:hint="eastAsia" w:ascii="宋体" w:hAnsi="宋体"/>
          <w:sz w:val="24"/>
          <w:szCs w:val="24"/>
        </w:rPr>
        <w:t>为拓展市场，依据国家相关法律法规，本着平等互利的原则，经甲、乙双方友好协商，就相关市场推广合作事宜达成如下协议：</w:t>
      </w:r>
    </w:p>
    <w:p w14:paraId="2B4A104D">
      <w:pPr>
        <w:spacing w:before="156" w:beforeLines="50" w:after="156" w:afterLines="50" w:line="360" w:lineRule="auto"/>
        <w:rPr>
          <w:rFonts w:hint="eastAsia" w:ascii="宋体" w:hAnsi="宋体"/>
          <w:b/>
          <w:bCs/>
          <w:sz w:val="28"/>
          <w:szCs w:val="28"/>
        </w:rPr>
      </w:pPr>
      <w:r>
        <w:rPr>
          <w:rFonts w:hint="eastAsia" w:ascii="宋体" w:hAnsi="宋体"/>
          <w:b/>
          <w:bCs/>
          <w:sz w:val="28"/>
          <w:szCs w:val="28"/>
        </w:rPr>
        <w:t>一、合作产品政策</w:t>
      </w:r>
    </w:p>
    <w:tbl>
      <w:tblPr>
        <w:tblStyle w:val="8"/>
        <w:tblW w:w="842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0"/>
        <w:gridCol w:w="1266"/>
        <w:gridCol w:w="1243"/>
        <w:gridCol w:w="886"/>
        <w:gridCol w:w="929"/>
        <w:gridCol w:w="1042"/>
        <w:gridCol w:w="1500"/>
      </w:tblGrid>
      <w:tr w14:paraId="1E5E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tcPr>
          <w:p w14:paraId="3E4BE2D9">
            <w:pPr>
              <w:pStyle w:val="12"/>
              <w:spacing w:line="360" w:lineRule="auto"/>
              <w:ind w:firstLine="0" w:firstLineChars="0"/>
              <w:rPr>
                <w:rFonts w:hint="eastAsia" w:ascii="宋体" w:hAnsi="宋体"/>
                <w:b/>
                <w:bCs/>
                <w:sz w:val="24"/>
                <w:szCs w:val="24"/>
              </w:rPr>
            </w:pPr>
            <w:r>
              <w:rPr>
                <w:rFonts w:hint="eastAsia" w:ascii="宋体" w:hAnsi="宋体"/>
                <w:b/>
                <w:bCs/>
                <w:sz w:val="24"/>
                <w:szCs w:val="24"/>
              </w:rPr>
              <w:t>序号</w:t>
            </w:r>
          </w:p>
        </w:tc>
        <w:tc>
          <w:tcPr>
            <w:tcW w:w="850" w:type="dxa"/>
          </w:tcPr>
          <w:p w14:paraId="549C9F33">
            <w:pPr>
              <w:pStyle w:val="12"/>
              <w:spacing w:line="360" w:lineRule="auto"/>
              <w:ind w:firstLine="0" w:firstLineChars="0"/>
              <w:rPr>
                <w:rFonts w:hint="eastAsia" w:ascii="宋体" w:hAnsi="宋体"/>
                <w:b/>
                <w:bCs/>
                <w:sz w:val="24"/>
                <w:szCs w:val="24"/>
              </w:rPr>
            </w:pPr>
            <w:r>
              <w:rPr>
                <w:rFonts w:hint="eastAsia" w:ascii="宋体" w:hAnsi="宋体"/>
                <w:b/>
                <w:bCs/>
                <w:sz w:val="24"/>
                <w:szCs w:val="24"/>
              </w:rPr>
              <w:t>产品名称</w:t>
            </w:r>
          </w:p>
        </w:tc>
        <w:tc>
          <w:tcPr>
            <w:tcW w:w="1266" w:type="dxa"/>
          </w:tcPr>
          <w:p w14:paraId="29F85C29">
            <w:pPr>
              <w:pStyle w:val="12"/>
              <w:spacing w:line="360" w:lineRule="auto"/>
              <w:ind w:firstLine="0" w:firstLineChars="0"/>
              <w:rPr>
                <w:rFonts w:hint="eastAsia" w:ascii="宋体" w:hAnsi="宋体"/>
                <w:b/>
                <w:bCs/>
                <w:sz w:val="24"/>
                <w:szCs w:val="24"/>
              </w:rPr>
            </w:pPr>
            <w:r>
              <w:rPr>
                <w:rFonts w:hint="eastAsia" w:ascii="宋体" w:hAnsi="宋体"/>
                <w:b/>
                <w:bCs/>
                <w:sz w:val="24"/>
                <w:szCs w:val="24"/>
              </w:rPr>
              <w:t>生产企业</w:t>
            </w:r>
          </w:p>
        </w:tc>
        <w:tc>
          <w:tcPr>
            <w:tcW w:w="1243" w:type="dxa"/>
          </w:tcPr>
          <w:p w14:paraId="1E2AC699">
            <w:pPr>
              <w:pStyle w:val="12"/>
              <w:spacing w:line="360" w:lineRule="auto"/>
              <w:ind w:firstLine="0" w:firstLineChars="0"/>
              <w:rPr>
                <w:rFonts w:hint="eastAsia" w:ascii="宋体" w:hAnsi="宋体"/>
                <w:b/>
                <w:bCs/>
                <w:sz w:val="24"/>
                <w:szCs w:val="24"/>
              </w:rPr>
            </w:pPr>
            <w:r>
              <w:rPr>
                <w:rFonts w:hint="eastAsia" w:ascii="宋体" w:hAnsi="宋体"/>
                <w:b/>
                <w:bCs/>
                <w:sz w:val="24"/>
                <w:szCs w:val="24"/>
              </w:rPr>
              <w:t>规格</w:t>
            </w:r>
          </w:p>
        </w:tc>
        <w:tc>
          <w:tcPr>
            <w:tcW w:w="886" w:type="dxa"/>
          </w:tcPr>
          <w:p w14:paraId="47697046">
            <w:pPr>
              <w:pStyle w:val="12"/>
              <w:spacing w:line="360" w:lineRule="auto"/>
              <w:ind w:firstLine="0" w:firstLineChars="0"/>
              <w:rPr>
                <w:rFonts w:hint="eastAsia" w:ascii="宋体" w:hAnsi="宋体"/>
                <w:b/>
                <w:bCs/>
                <w:sz w:val="24"/>
                <w:szCs w:val="24"/>
              </w:rPr>
            </w:pPr>
            <w:r>
              <w:rPr>
                <w:rFonts w:hint="eastAsia" w:ascii="宋体" w:hAnsi="宋体"/>
                <w:b/>
                <w:bCs/>
                <w:sz w:val="24"/>
                <w:szCs w:val="24"/>
              </w:rPr>
              <w:t>单位</w:t>
            </w:r>
          </w:p>
        </w:tc>
        <w:tc>
          <w:tcPr>
            <w:tcW w:w="929" w:type="dxa"/>
          </w:tcPr>
          <w:p w14:paraId="5D994B28">
            <w:pPr>
              <w:pStyle w:val="12"/>
              <w:spacing w:line="360" w:lineRule="auto"/>
              <w:ind w:firstLine="0" w:firstLineChars="0"/>
              <w:rPr>
                <w:rFonts w:hint="eastAsia" w:ascii="宋体" w:hAnsi="宋体"/>
                <w:b/>
                <w:bCs/>
                <w:sz w:val="24"/>
                <w:szCs w:val="24"/>
              </w:rPr>
            </w:pPr>
            <w:r>
              <w:rPr>
                <w:rFonts w:hint="eastAsia" w:ascii="宋体" w:hAnsi="宋体"/>
                <w:b/>
                <w:bCs/>
                <w:sz w:val="24"/>
                <w:szCs w:val="24"/>
              </w:rPr>
              <w:t>进价</w:t>
            </w:r>
          </w:p>
        </w:tc>
        <w:tc>
          <w:tcPr>
            <w:tcW w:w="1042" w:type="dxa"/>
          </w:tcPr>
          <w:p w14:paraId="189E6CBB">
            <w:pPr>
              <w:pStyle w:val="12"/>
              <w:spacing w:line="360" w:lineRule="auto"/>
              <w:ind w:firstLine="0" w:firstLineChars="0"/>
              <w:rPr>
                <w:rFonts w:hint="eastAsia" w:ascii="宋体" w:hAnsi="宋体"/>
                <w:b/>
                <w:bCs/>
                <w:sz w:val="24"/>
                <w:szCs w:val="24"/>
              </w:rPr>
            </w:pPr>
            <w:r>
              <w:rPr>
                <w:rFonts w:hint="eastAsia" w:ascii="宋体" w:hAnsi="宋体"/>
                <w:b/>
                <w:bCs/>
                <w:sz w:val="24"/>
                <w:szCs w:val="24"/>
              </w:rPr>
              <w:t>建议零售价</w:t>
            </w:r>
          </w:p>
        </w:tc>
        <w:tc>
          <w:tcPr>
            <w:tcW w:w="1500" w:type="dxa"/>
          </w:tcPr>
          <w:p w14:paraId="022A59FA">
            <w:pPr>
              <w:pStyle w:val="12"/>
              <w:spacing w:line="360" w:lineRule="auto"/>
              <w:ind w:firstLine="0" w:firstLineChars="0"/>
              <w:rPr>
                <w:rFonts w:hint="eastAsia" w:ascii="宋体" w:hAnsi="宋体"/>
                <w:b/>
                <w:bCs/>
                <w:sz w:val="24"/>
                <w:szCs w:val="24"/>
              </w:rPr>
            </w:pPr>
            <w:r>
              <w:rPr>
                <w:rFonts w:hint="eastAsia" w:ascii="宋体" w:hAnsi="宋体"/>
                <w:b/>
                <w:bCs/>
                <w:sz w:val="24"/>
                <w:szCs w:val="24"/>
              </w:rPr>
              <w:t>预算费用标准</w:t>
            </w:r>
          </w:p>
        </w:tc>
      </w:tr>
      <w:tr w14:paraId="4D77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3BF19396">
            <w:pPr>
              <w:pStyle w:val="12"/>
              <w:spacing w:line="360" w:lineRule="auto"/>
              <w:ind w:firstLine="0" w:firstLineChars="0"/>
              <w:rPr>
                <w:rFonts w:hint="eastAsia" w:ascii="宋体" w:hAnsi="宋体"/>
                <w:sz w:val="24"/>
                <w:szCs w:val="24"/>
              </w:rPr>
            </w:pPr>
            <w:r>
              <w:rPr>
                <w:rFonts w:hint="eastAsia" w:ascii="宋体" w:hAnsi="宋体"/>
                <w:sz w:val="24"/>
                <w:szCs w:val="24"/>
              </w:rPr>
              <w:t>1</w:t>
            </w:r>
          </w:p>
        </w:tc>
        <w:tc>
          <w:tcPr>
            <w:tcW w:w="850" w:type="dxa"/>
          </w:tcPr>
          <w:p w14:paraId="256A9A34">
            <w:pPr>
              <w:pStyle w:val="12"/>
              <w:spacing w:line="360" w:lineRule="auto"/>
              <w:ind w:firstLine="0" w:firstLineChars="0"/>
              <w:rPr>
                <w:rFonts w:hint="eastAsia" w:ascii="宋体" w:hAnsi="宋体"/>
                <w:sz w:val="24"/>
                <w:szCs w:val="24"/>
              </w:rPr>
            </w:pPr>
            <w:r>
              <w:rPr>
                <w:rFonts w:hint="eastAsia" w:ascii="宋体" w:hAnsi="宋体"/>
                <w:sz w:val="24"/>
                <w:szCs w:val="24"/>
              </w:rPr>
              <w:t>左氧氟沙星</w:t>
            </w:r>
          </w:p>
        </w:tc>
        <w:tc>
          <w:tcPr>
            <w:tcW w:w="1266" w:type="dxa"/>
          </w:tcPr>
          <w:p w14:paraId="0F117E79">
            <w:pPr>
              <w:pStyle w:val="12"/>
              <w:spacing w:line="360" w:lineRule="auto"/>
              <w:ind w:firstLine="0" w:firstLineChars="0"/>
              <w:rPr>
                <w:rFonts w:hint="eastAsia" w:ascii="宋体" w:hAnsi="宋体"/>
                <w:sz w:val="24"/>
                <w:szCs w:val="24"/>
              </w:rPr>
            </w:pPr>
            <w:r>
              <w:rPr>
                <w:rFonts w:hint="eastAsia" w:ascii="宋体" w:hAnsi="宋体"/>
                <w:sz w:val="24"/>
                <w:szCs w:val="24"/>
              </w:rPr>
              <w:t>北京吉洛华制药有限公司</w:t>
            </w:r>
          </w:p>
        </w:tc>
        <w:tc>
          <w:tcPr>
            <w:tcW w:w="1243" w:type="dxa"/>
          </w:tcPr>
          <w:p w14:paraId="6E283DB3">
            <w:pPr>
              <w:pStyle w:val="12"/>
              <w:spacing w:line="360" w:lineRule="auto"/>
              <w:ind w:firstLine="0" w:firstLineChars="0"/>
              <w:rPr>
                <w:rFonts w:hint="eastAsia" w:ascii="宋体" w:hAnsi="宋体"/>
                <w:sz w:val="24"/>
                <w:szCs w:val="24"/>
              </w:rPr>
            </w:pPr>
            <w:r>
              <w:rPr>
                <w:rFonts w:hint="eastAsia" w:ascii="宋体" w:hAnsi="宋体"/>
                <w:sz w:val="24"/>
                <w:szCs w:val="24"/>
              </w:rPr>
              <w:t>0.5g*4片</w:t>
            </w:r>
          </w:p>
        </w:tc>
        <w:tc>
          <w:tcPr>
            <w:tcW w:w="886" w:type="dxa"/>
          </w:tcPr>
          <w:p w14:paraId="1CB9D504">
            <w:pPr>
              <w:pStyle w:val="12"/>
              <w:spacing w:line="360" w:lineRule="auto"/>
              <w:ind w:firstLine="0" w:firstLineChars="0"/>
              <w:rPr>
                <w:rFonts w:hint="eastAsia" w:ascii="宋体" w:hAnsi="宋体"/>
                <w:sz w:val="24"/>
                <w:szCs w:val="24"/>
              </w:rPr>
            </w:pPr>
            <w:r>
              <w:rPr>
                <w:rFonts w:hint="eastAsia" w:ascii="宋体" w:hAnsi="宋体"/>
                <w:sz w:val="24"/>
                <w:szCs w:val="24"/>
              </w:rPr>
              <w:t>盒</w:t>
            </w:r>
          </w:p>
        </w:tc>
        <w:tc>
          <w:tcPr>
            <w:tcW w:w="929" w:type="dxa"/>
          </w:tcPr>
          <w:p w14:paraId="008F15EA">
            <w:pPr>
              <w:pStyle w:val="12"/>
              <w:spacing w:line="360" w:lineRule="auto"/>
              <w:ind w:firstLine="0" w:firstLineChars="0"/>
              <w:rPr>
                <w:rFonts w:hint="eastAsia" w:ascii="宋体" w:hAnsi="宋体"/>
                <w:sz w:val="24"/>
                <w:szCs w:val="24"/>
              </w:rPr>
            </w:pPr>
            <w:r>
              <w:rPr>
                <w:rFonts w:hint="eastAsia" w:ascii="宋体" w:hAnsi="宋体"/>
                <w:sz w:val="24"/>
                <w:szCs w:val="24"/>
              </w:rPr>
              <w:t>33.12元</w:t>
            </w:r>
          </w:p>
        </w:tc>
        <w:tc>
          <w:tcPr>
            <w:tcW w:w="1042" w:type="dxa"/>
          </w:tcPr>
          <w:p w14:paraId="6B9BBB62">
            <w:pPr>
              <w:pStyle w:val="12"/>
              <w:spacing w:line="360" w:lineRule="auto"/>
              <w:ind w:firstLine="0" w:firstLineChars="0"/>
              <w:rPr>
                <w:rFonts w:hint="eastAsia" w:ascii="宋体" w:hAnsi="宋体"/>
                <w:sz w:val="24"/>
                <w:szCs w:val="24"/>
              </w:rPr>
            </w:pPr>
            <w:r>
              <w:rPr>
                <w:rFonts w:hint="eastAsia" w:ascii="宋体" w:hAnsi="宋体"/>
                <w:sz w:val="24"/>
                <w:szCs w:val="24"/>
              </w:rPr>
              <w:t>33.12元</w:t>
            </w:r>
          </w:p>
        </w:tc>
        <w:tc>
          <w:tcPr>
            <w:tcW w:w="1500" w:type="dxa"/>
          </w:tcPr>
          <w:p w14:paraId="4F0325B8">
            <w:pPr>
              <w:pStyle w:val="12"/>
              <w:spacing w:line="360" w:lineRule="auto"/>
              <w:ind w:firstLine="0" w:firstLineChars="0"/>
              <w:rPr>
                <w:rFonts w:hint="eastAsia" w:ascii="宋体" w:hAnsi="宋体"/>
                <w:sz w:val="24"/>
                <w:szCs w:val="24"/>
              </w:rPr>
            </w:pPr>
            <w:r>
              <w:rPr>
                <w:rFonts w:hint="eastAsia" w:ascii="宋体" w:hAnsi="宋体"/>
                <w:sz w:val="24"/>
                <w:szCs w:val="24"/>
              </w:rPr>
              <w:t>13.12元</w:t>
            </w:r>
          </w:p>
        </w:tc>
      </w:tr>
    </w:tbl>
    <w:p w14:paraId="0CCFC169">
      <w:pPr>
        <w:spacing w:before="156" w:beforeLines="50" w:after="156" w:afterLines="50" w:line="360" w:lineRule="auto"/>
        <w:rPr>
          <w:rFonts w:hint="eastAsia" w:ascii="微软雅黑" w:hAnsi="微软雅黑" w:eastAsia="微软雅黑"/>
          <w:b/>
          <w:bCs/>
          <w:sz w:val="20"/>
          <w:szCs w:val="20"/>
        </w:rPr>
      </w:pPr>
      <w:r>
        <w:rPr>
          <w:rFonts w:ascii="宋体" w:hAnsi="宋体"/>
          <w:b/>
          <w:bCs/>
          <w:sz w:val="28"/>
          <w:szCs w:val="28"/>
        </w:rPr>
        <w:t>二、费用预算</w:t>
      </w:r>
      <w:r>
        <w:rPr>
          <w:rFonts w:hint="eastAsia" w:ascii="宋体" w:hAnsi="宋体"/>
          <w:b/>
          <w:bCs/>
          <w:sz w:val="28"/>
          <w:szCs w:val="28"/>
        </w:rPr>
        <w:t>与结算</w:t>
      </w:r>
    </w:p>
    <w:p w14:paraId="5180B8E7">
      <w:pPr>
        <w:spacing w:before="156" w:beforeLines="50" w:after="156" w:afterLines="50" w:line="360" w:lineRule="auto"/>
        <w:rPr>
          <w:rFonts w:hint="eastAsia" w:ascii="宋体" w:hAnsi="宋体"/>
          <w:b/>
          <w:bCs/>
          <w:sz w:val="24"/>
          <w:szCs w:val="24"/>
        </w:rPr>
      </w:pPr>
      <w:r>
        <w:rPr>
          <w:rFonts w:ascii="宋体" w:hAnsi="宋体"/>
          <w:b/>
          <w:bCs/>
          <w:sz w:val="24"/>
          <w:szCs w:val="24"/>
        </w:rPr>
        <w:t>2.1费用</w:t>
      </w:r>
      <w:r>
        <w:rPr>
          <w:rFonts w:hint="eastAsia" w:ascii="宋体" w:hAnsi="宋体"/>
          <w:b/>
          <w:bCs/>
          <w:sz w:val="24"/>
          <w:szCs w:val="24"/>
        </w:rPr>
        <w:t>预算</w:t>
      </w:r>
    </w:p>
    <w:p w14:paraId="2689D18D">
      <w:pPr>
        <w:spacing w:before="156" w:beforeLines="50" w:after="156" w:afterLines="50" w:line="360" w:lineRule="auto"/>
        <w:ind w:firstLine="482" w:firstLineChars="200"/>
        <w:rPr>
          <w:rFonts w:hint="eastAsia" w:ascii="宋体" w:hAnsi="宋体" w:eastAsiaTheme="minorEastAsia"/>
          <w:b/>
          <w:bCs/>
          <w:sz w:val="24"/>
          <w:szCs w:val="24"/>
        </w:rPr>
      </w:pPr>
      <w:r>
        <w:rPr>
          <w:rFonts w:ascii="宋体" w:hAnsi="宋体"/>
          <w:b/>
          <w:bCs/>
          <w:sz w:val="24"/>
          <w:szCs w:val="24"/>
        </w:rPr>
        <w:t>2.1.1预算制定与考核规则</w:t>
      </w:r>
    </w:p>
    <w:p w14:paraId="664791AD">
      <w:pPr>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.甲方根据乙方提供的</w:t>
      </w:r>
      <w:r>
        <w:rPr>
          <w:rFonts w:ascii="宋体" w:hAnsi="宋体"/>
          <w:b/>
          <w:bCs/>
          <w:sz w:val="24"/>
          <w:szCs w:val="24"/>
        </w:rPr>
        <w:t>有效门店终端配送流向数据</w:t>
      </w:r>
      <w:r>
        <w:rPr>
          <w:rFonts w:ascii="宋体" w:hAnsi="宋体"/>
          <w:sz w:val="24"/>
          <w:szCs w:val="24"/>
        </w:rPr>
        <w:t>（数据要求详见本条款 2.1.2），制定市场推广服务费的投入预算；</w:t>
      </w:r>
    </w:p>
    <w:p w14:paraId="5F00458A">
      <w:pPr>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甲方</w:t>
      </w:r>
      <w:r>
        <w:rPr>
          <w:rFonts w:ascii="宋体" w:hAnsi="宋体"/>
          <w:sz w:val="24"/>
          <w:szCs w:val="24"/>
        </w:rPr>
        <w:t>按月度对</w:t>
      </w:r>
      <w:r>
        <w:rPr>
          <w:rFonts w:hint="eastAsia" w:ascii="宋体" w:hAnsi="宋体"/>
          <w:sz w:val="24"/>
          <w:szCs w:val="24"/>
        </w:rPr>
        <w:t>乙方</w:t>
      </w:r>
      <w:r>
        <w:rPr>
          <w:rFonts w:ascii="宋体" w:hAnsi="宋体"/>
          <w:sz w:val="24"/>
          <w:szCs w:val="24"/>
        </w:rPr>
        <w:t>的任务完成情况进行考核，考核依据以本条款约定的“终端配送流向数据” 为准：</w:t>
      </w:r>
    </w:p>
    <w:p w14:paraId="709DF9D6">
      <w:pPr>
        <w:spacing w:line="360" w:lineRule="auto"/>
        <w:ind w:firstLine="480" w:firstLineChars="200"/>
        <w:rPr>
          <w:rFonts w:hint="eastAsia" w:ascii="宋体" w:hAnsi="宋体" w:eastAsiaTheme="minorEastAsia"/>
          <w:sz w:val="24"/>
          <w:szCs w:val="24"/>
        </w:rPr>
      </w:pPr>
      <w:r>
        <w:rPr>
          <w:rFonts w:ascii="宋体" w:hAnsi="宋体"/>
          <w:sz w:val="24"/>
          <w:szCs w:val="24"/>
        </w:rPr>
        <w:t>（1）若</w:t>
      </w:r>
      <w:r>
        <w:rPr>
          <w:rFonts w:hint="eastAsia" w:ascii="宋体" w:hAnsi="宋体"/>
          <w:sz w:val="24"/>
          <w:szCs w:val="24"/>
        </w:rPr>
        <w:t>乙方</w:t>
      </w:r>
      <w:r>
        <w:rPr>
          <w:rFonts w:ascii="宋体" w:hAnsi="宋体"/>
          <w:sz w:val="24"/>
          <w:szCs w:val="24"/>
        </w:rPr>
        <w:t>当月完成约定任务量</w:t>
      </w:r>
      <w:r>
        <w:rPr>
          <w:rFonts w:hint="eastAsia" w:ascii="宋体" w:hAnsi="宋体"/>
          <w:sz w:val="24"/>
          <w:szCs w:val="24"/>
        </w:rPr>
        <w:t>且提交符合甲方要求的对应费用相关服务成果，甲方</w:t>
      </w:r>
      <w:r>
        <w:rPr>
          <w:rFonts w:ascii="宋体" w:hAnsi="宋体"/>
          <w:sz w:val="24"/>
          <w:szCs w:val="24"/>
        </w:rPr>
        <w:t>于次月向</w:t>
      </w:r>
      <w:r>
        <w:rPr>
          <w:rFonts w:hint="eastAsia" w:ascii="宋体" w:hAnsi="宋体"/>
          <w:sz w:val="24"/>
          <w:szCs w:val="24"/>
        </w:rPr>
        <w:t>乙</w:t>
      </w:r>
      <w:r>
        <w:rPr>
          <w:rFonts w:ascii="宋体" w:hAnsi="宋体"/>
          <w:sz w:val="24"/>
          <w:szCs w:val="24"/>
        </w:rPr>
        <w:t>方结算对应推广服务费；</w:t>
      </w:r>
    </w:p>
    <w:p w14:paraId="74A474F1">
      <w:pPr>
        <w:spacing w:line="360" w:lineRule="auto"/>
        <w:ind w:firstLine="480" w:firstLineChars="200"/>
        <w:rPr>
          <w:rFonts w:hint="eastAsia" w:ascii="宋体" w:hAnsi="宋体" w:eastAsiaTheme="minorEastAsia"/>
          <w:sz w:val="24"/>
          <w:szCs w:val="24"/>
        </w:rPr>
      </w:pPr>
      <w:r>
        <w:rPr>
          <w:rFonts w:ascii="宋体" w:hAnsi="宋体"/>
          <w:sz w:val="24"/>
          <w:szCs w:val="24"/>
        </w:rPr>
        <w:t>（2）若</w:t>
      </w:r>
      <w:r>
        <w:rPr>
          <w:rFonts w:hint="eastAsia" w:ascii="宋体" w:hAnsi="宋体"/>
          <w:sz w:val="24"/>
          <w:szCs w:val="24"/>
        </w:rPr>
        <w:t>乙方</w:t>
      </w:r>
      <w:r>
        <w:rPr>
          <w:rFonts w:ascii="宋体" w:hAnsi="宋体"/>
          <w:sz w:val="24"/>
          <w:szCs w:val="24"/>
        </w:rPr>
        <w:t>当月未完成任务量，但后续月份与当月累计完成任务量的，</w:t>
      </w:r>
      <w:r>
        <w:rPr>
          <w:rFonts w:hint="eastAsia" w:ascii="宋体" w:hAnsi="宋体"/>
          <w:sz w:val="24"/>
          <w:szCs w:val="24"/>
        </w:rPr>
        <w:t>甲</w:t>
      </w:r>
      <w:r>
        <w:rPr>
          <w:rFonts w:ascii="宋体" w:hAnsi="宋体"/>
          <w:sz w:val="24"/>
          <w:szCs w:val="24"/>
        </w:rPr>
        <w:t>方仍需于累计达标的次月向</w:t>
      </w:r>
      <w:r>
        <w:rPr>
          <w:rFonts w:hint="eastAsia" w:ascii="宋体" w:hAnsi="宋体"/>
          <w:sz w:val="24"/>
          <w:szCs w:val="24"/>
        </w:rPr>
        <w:t>乙方投入预算</w:t>
      </w:r>
      <w:r>
        <w:rPr>
          <w:rFonts w:ascii="宋体" w:hAnsi="宋体"/>
          <w:sz w:val="24"/>
          <w:szCs w:val="24"/>
        </w:rPr>
        <w:t>费用（示例：</w:t>
      </w:r>
      <w:r>
        <w:rPr>
          <w:rFonts w:hint="eastAsia" w:ascii="宋体" w:hAnsi="宋体"/>
          <w:sz w:val="24"/>
          <w:szCs w:val="24"/>
        </w:rPr>
        <w:t>乙</w:t>
      </w:r>
      <w:r>
        <w:rPr>
          <w:rFonts w:ascii="宋体" w:hAnsi="宋体"/>
          <w:sz w:val="24"/>
          <w:szCs w:val="24"/>
        </w:rPr>
        <w:t>方</w:t>
      </w:r>
      <w:r>
        <w:rPr>
          <w:rFonts w:hint="eastAsia" w:ascii="宋体" w:hAnsi="宋体"/>
          <w:sz w:val="24"/>
          <w:szCs w:val="24"/>
        </w:rPr>
        <w:t>1</w:t>
      </w:r>
      <w:r>
        <w:rPr>
          <w:rFonts w:ascii="宋体" w:hAnsi="宋体"/>
          <w:sz w:val="24"/>
          <w:szCs w:val="24"/>
        </w:rPr>
        <w:t>月仅完成 5000 盒，但若</w:t>
      </w:r>
      <w:r>
        <w:rPr>
          <w:rFonts w:hint="eastAsia" w:ascii="宋体" w:hAnsi="宋体"/>
          <w:sz w:val="24"/>
          <w:szCs w:val="24"/>
        </w:rPr>
        <w:t>1-3</w:t>
      </w:r>
      <w:r>
        <w:rPr>
          <w:rFonts w:ascii="宋体" w:hAnsi="宋体"/>
          <w:sz w:val="24"/>
          <w:szCs w:val="24"/>
        </w:rPr>
        <w:t>月累计完成35000盒（达到约定任务量），则</w:t>
      </w:r>
      <w:r>
        <w:rPr>
          <w:rFonts w:hint="eastAsia" w:ascii="宋体" w:hAnsi="宋体"/>
          <w:sz w:val="24"/>
          <w:szCs w:val="24"/>
        </w:rPr>
        <w:t>甲</w:t>
      </w:r>
      <w:r>
        <w:rPr>
          <w:rFonts w:ascii="宋体" w:hAnsi="宋体"/>
          <w:sz w:val="24"/>
          <w:szCs w:val="24"/>
        </w:rPr>
        <w:t>方需在</w:t>
      </w:r>
      <w:r>
        <w:rPr>
          <w:rFonts w:hint="eastAsia" w:ascii="宋体" w:hAnsi="宋体"/>
          <w:sz w:val="24"/>
          <w:szCs w:val="24"/>
        </w:rPr>
        <w:t>4</w:t>
      </w:r>
      <w:r>
        <w:rPr>
          <w:rFonts w:ascii="宋体" w:hAnsi="宋体"/>
          <w:sz w:val="24"/>
          <w:szCs w:val="24"/>
        </w:rPr>
        <w:t>月向</w:t>
      </w:r>
      <w:r>
        <w:rPr>
          <w:rFonts w:hint="eastAsia" w:ascii="宋体" w:hAnsi="宋体"/>
          <w:sz w:val="24"/>
          <w:szCs w:val="24"/>
        </w:rPr>
        <w:t>乙</w:t>
      </w:r>
      <w:r>
        <w:rPr>
          <w:rFonts w:ascii="宋体" w:hAnsi="宋体"/>
          <w:sz w:val="24"/>
          <w:szCs w:val="24"/>
        </w:rPr>
        <w:t>方</w:t>
      </w:r>
      <w:r>
        <w:rPr>
          <w:rFonts w:hint="eastAsia" w:ascii="宋体" w:hAnsi="宋体"/>
          <w:sz w:val="24"/>
          <w:szCs w:val="24"/>
        </w:rPr>
        <w:t>投入</w:t>
      </w:r>
      <w:r>
        <w:rPr>
          <w:rFonts w:ascii="宋体" w:hAnsi="宋体"/>
          <w:sz w:val="24"/>
          <w:szCs w:val="24"/>
        </w:rPr>
        <w:t>对应</w:t>
      </w:r>
      <w:r>
        <w:rPr>
          <w:rFonts w:hint="eastAsia" w:ascii="宋体" w:hAnsi="宋体"/>
          <w:sz w:val="24"/>
          <w:szCs w:val="24"/>
        </w:rPr>
        <w:t>预算</w:t>
      </w:r>
      <w:r>
        <w:rPr>
          <w:rFonts w:ascii="宋体" w:hAnsi="宋体"/>
          <w:sz w:val="24"/>
          <w:szCs w:val="24"/>
        </w:rPr>
        <w:t>费用）；</w:t>
      </w:r>
    </w:p>
    <w:p w14:paraId="45B1659C">
      <w:pPr>
        <w:spacing w:line="360" w:lineRule="auto"/>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.若</w:t>
      </w:r>
      <w:r>
        <w:rPr>
          <w:rFonts w:hint="eastAsia" w:ascii="宋体" w:hAnsi="宋体"/>
          <w:sz w:val="24"/>
          <w:szCs w:val="24"/>
        </w:rPr>
        <w:t>乙</w:t>
      </w:r>
      <w:r>
        <w:rPr>
          <w:rFonts w:ascii="宋体" w:hAnsi="宋体"/>
          <w:sz w:val="24"/>
          <w:szCs w:val="24"/>
        </w:rPr>
        <w:t>方在</w:t>
      </w:r>
      <w:r>
        <w:rPr>
          <w:rFonts w:ascii="宋体" w:hAnsi="宋体"/>
          <w:b/>
          <w:bCs/>
          <w:sz w:val="24"/>
          <w:szCs w:val="24"/>
        </w:rPr>
        <w:t>本协议有效期内累计未完成年度任务量</w:t>
      </w:r>
      <w:r>
        <w:rPr>
          <w:rFonts w:ascii="宋体" w:hAnsi="宋体"/>
          <w:sz w:val="24"/>
          <w:szCs w:val="24"/>
        </w:rPr>
        <w:t>（年度任务量详见附件1《年度任务量确认表》），</w:t>
      </w:r>
      <w:r>
        <w:rPr>
          <w:rFonts w:hint="eastAsia" w:ascii="宋体" w:hAnsi="宋体"/>
          <w:sz w:val="24"/>
          <w:szCs w:val="24"/>
        </w:rPr>
        <w:t>甲</w:t>
      </w:r>
      <w:r>
        <w:rPr>
          <w:rFonts w:ascii="宋体" w:hAnsi="宋体"/>
          <w:sz w:val="24"/>
          <w:szCs w:val="24"/>
        </w:rPr>
        <w:t>方有权单方终止本协议，终止前已达标部分的费用仍需按约定</w:t>
      </w:r>
      <w:r>
        <w:rPr>
          <w:rFonts w:hint="eastAsia" w:ascii="宋体" w:hAnsi="宋体"/>
          <w:sz w:val="24"/>
          <w:szCs w:val="24"/>
        </w:rPr>
        <w:t>投入预算</w:t>
      </w:r>
      <w:r>
        <w:rPr>
          <w:rFonts w:ascii="宋体" w:hAnsi="宋体"/>
          <w:sz w:val="24"/>
          <w:szCs w:val="24"/>
        </w:rPr>
        <w:t>。</w:t>
      </w:r>
    </w:p>
    <w:p w14:paraId="7BEC333C">
      <w:pPr>
        <w:spacing w:before="156" w:beforeLines="50" w:after="156" w:afterLines="50" w:line="360" w:lineRule="auto"/>
        <w:ind w:firstLine="482" w:firstLineChars="200"/>
        <w:rPr>
          <w:rFonts w:hint="eastAsia" w:ascii="宋体" w:hAnsi="宋体"/>
          <w:b/>
          <w:bCs/>
          <w:sz w:val="24"/>
          <w:szCs w:val="24"/>
        </w:rPr>
      </w:pPr>
      <w:r>
        <w:rPr>
          <w:rFonts w:ascii="宋体" w:hAnsi="宋体"/>
          <w:b/>
          <w:bCs/>
          <w:sz w:val="24"/>
          <w:szCs w:val="24"/>
        </w:rPr>
        <w:t>2.1.2 终端配送流向数据要求</w:t>
      </w:r>
    </w:p>
    <w:p w14:paraId="00BEE8B7">
      <w:pPr>
        <w:spacing w:line="360" w:lineRule="auto"/>
        <w:ind w:firstLine="482" w:firstLineChars="200"/>
        <w:rPr>
          <w:rFonts w:hint="eastAsia" w:ascii="宋体" w:hAnsi="宋体"/>
          <w:sz w:val="24"/>
          <w:szCs w:val="24"/>
        </w:rPr>
      </w:pPr>
      <w:r>
        <w:rPr>
          <w:rFonts w:hint="eastAsia" w:ascii="宋体" w:hAnsi="宋体"/>
          <w:b/>
          <w:bCs/>
          <w:sz w:val="24"/>
          <w:szCs w:val="24"/>
        </w:rPr>
        <w:t>1</w:t>
      </w:r>
      <w:r>
        <w:rPr>
          <w:rFonts w:ascii="宋体" w:hAnsi="宋体"/>
          <w:b/>
          <w:bCs/>
          <w:sz w:val="24"/>
          <w:szCs w:val="24"/>
        </w:rPr>
        <w:t>.数据内容完整性</w:t>
      </w:r>
      <w:r>
        <w:rPr>
          <w:rFonts w:ascii="宋体" w:hAnsi="宋体"/>
          <w:sz w:val="24"/>
          <w:szCs w:val="24"/>
        </w:rPr>
        <w:t>：</w:t>
      </w:r>
    </w:p>
    <w:p w14:paraId="22293D8A">
      <w:pPr>
        <w:spacing w:line="360" w:lineRule="auto"/>
        <w:ind w:firstLine="480" w:firstLineChars="200"/>
        <w:rPr>
          <w:rFonts w:hint="eastAsia" w:ascii="宋体" w:hAnsi="宋体"/>
          <w:sz w:val="24"/>
          <w:szCs w:val="24"/>
        </w:rPr>
      </w:pPr>
      <w:r>
        <w:rPr>
          <w:rFonts w:ascii="宋体" w:hAnsi="宋体"/>
          <w:sz w:val="24"/>
          <w:szCs w:val="24"/>
        </w:rPr>
        <w:t>乙方提供的数据需包含且不限于以下信息：</w:t>
      </w:r>
    </w:p>
    <w:p w14:paraId="4EDB064B">
      <w:pPr>
        <w:spacing w:line="360" w:lineRule="auto"/>
        <w:ind w:firstLine="480" w:firstLineChars="200"/>
        <w:rPr>
          <w:rFonts w:hint="eastAsia" w:ascii="宋体" w:hAnsi="宋体" w:eastAsiaTheme="minorEastAsia"/>
          <w:sz w:val="24"/>
          <w:szCs w:val="24"/>
        </w:rPr>
      </w:pPr>
      <w:r>
        <w:rPr>
          <w:rFonts w:hint="eastAsia" w:ascii="宋体" w:hAnsi="宋体" w:cs="宋体"/>
          <w:sz w:val="24"/>
          <w:szCs w:val="24"/>
        </w:rPr>
        <w:t>①</w:t>
      </w:r>
      <w:r>
        <w:rPr>
          <w:rFonts w:ascii="宋体" w:hAnsi="宋体"/>
          <w:sz w:val="24"/>
          <w:szCs w:val="24"/>
        </w:rPr>
        <w:t>产品名称、规格、生产批号；</w:t>
      </w:r>
    </w:p>
    <w:p w14:paraId="26D46F4A">
      <w:pPr>
        <w:spacing w:line="360" w:lineRule="auto"/>
        <w:ind w:firstLine="480" w:firstLineChars="200"/>
        <w:rPr>
          <w:rFonts w:hint="eastAsia" w:ascii="宋体" w:hAnsi="宋体" w:eastAsiaTheme="minorEastAsia"/>
          <w:sz w:val="24"/>
          <w:szCs w:val="24"/>
        </w:rPr>
      </w:pPr>
      <w:r>
        <w:rPr>
          <w:rFonts w:hint="eastAsia" w:ascii="宋体" w:hAnsi="宋体" w:cs="宋体"/>
          <w:sz w:val="24"/>
          <w:szCs w:val="24"/>
        </w:rPr>
        <w:t>②</w:t>
      </w:r>
      <w:r>
        <w:rPr>
          <w:rFonts w:ascii="宋体" w:hAnsi="宋体"/>
          <w:sz w:val="24"/>
          <w:szCs w:val="24"/>
        </w:rPr>
        <w:t>配送日期、配送数量、终端门店名称及唯一编码；</w:t>
      </w:r>
    </w:p>
    <w:p w14:paraId="2CCFC214">
      <w:pPr>
        <w:spacing w:line="360" w:lineRule="auto"/>
        <w:ind w:firstLine="480" w:firstLineChars="200"/>
        <w:rPr>
          <w:rFonts w:hint="eastAsia" w:ascii="宋体" w:hAnsi="宋体" w:cs="Cambria Math" w:eastAsiaTheme="minorEastAsia"/>
          <w:sz w:val="24"/>
          <w:szCs w:val="24"/>
        </w:rPr>
      </w:pPr>
      <w:r>
        <w:rPr>
          <w:rFonts w:hint="eastAsia" w:ascii="宋体" w:hAnsi="宋体" w:cs="宋体"/>
          <w:sz w:val="24"/>
          <w:szCs w:val="24"/>
        </w:rPr>
        <w:t>③</w:t>
      </w:r>
      <w:r>
        <w:rPr>
          <w:rFonts w:ascii="宋体" w:hAnsi="宋体"/>
          <w:sz w:val="24"/>
          <w:szCs w:val="24"/>
        </w:rPr>
        <w:t>商业公司出货单据编号（需与规划商业公司单据一致）。</w:t>
      </w:r>
    </w:p>
    <w:p w14:paraId="08D71415">
      <w:pPr>
        <w:spacing w:line="360" w:lineRule="auto"/>
        <w:ind w:firstLine="482" w:firstLineChars="200"/>
        <w:rPr>
          <w:rFonts w:hint="eastAsia" w:ascii="宋体" w:hAnsi="宋体" w:eastAsiaTheme="minorEastAsia"/>
          <w:sz w:val="24"/>
          <w:szCs w:val="24"/>
        </w:rPr>
      </w:pPr>
      <w:r>
        <w:rPr>
          <w:rFonts w:hint="eastAsia" w:ascii="宋体" w:hAnsi="宋体"/>
          <w:b/>
          <w:bCs/>
          <w:sz w:val="24"/>
          <w:szCs w:val="24"/>
        </w:rPr>
        <w:t>2</w:t>
      </w:r>
      <w:r>
        <w:rPr>
          <w:rFonts w:ascii="宋体" w:hAnsi="宋体"/>
          <w:b/>
          <w:bCs/>
          <w:sz w:val="24"/>
          <w:szCs w:val="24"/>
        </w:rPr>
        <w:t>.数据对接方式</w:t>
      </w:r>
      <w:r>
        <w:rPr>
          <w:rFonts w:ascii="宋体" w:hAnsi="宋体"/>
          <w:sz w:val="24"/>
          <w:szCs w:val="24"/>
        </w:rPr>
        <w:t>：</w:t>
      </w:r>
    </w:p>
    <w:p w14:paraId="7CEABAE7">
      <w:pPr>
        <w:spacing w:line="360" w:lineRule="auto"/>
        <w:ind w:firstLine="480" w:firstLineChars="200"/>
        <w:rPr>
          <w:rFonts w:hint="eastAsia" w:ascii="宋体" w:hAnsi="宋体" w:eastAsiaTheme="minorEastAsia"/>
          <w:sz w:val="24"/>
          <w:szCs w:val="24"/>
        </w:rPr>
      </w:pPr>
      <w:r>
        <w:rPr>
          <w:rFonts w:ascii="宋体" w:hAnsi="宋体"/>
          <w:sz w:val="24"/>
          <w:szCs w:val="24"/>
        </w:rPr>
        <w:t>乙方需通过甲方指定的系统平台（如ERP系统、DMS系统）或API接口，以“实时同步”或“每日24:00前同步当日数据”的方式，向甲方传输终端配送流向数据，确保数据时效性。</w:t>
      </w:r>
    </w:p>
    <w:p w14:paraId="3C571C9C">
      <w:pPr>
        <w:spacing w:line="360" w:lineRule="auto"/>
        <w:ind w:firstLine="482" w:firstLineChars="200"/>
        <w:rPr>
          <w:rFonts w:hint="eastAsia" w:ascii="宋体" w:hAnsi="宋体" w:eastAsiaTheme="minorEastAsia"/>
          <w:sz w:val="24"/>
          <w:szCs w:val="24"/>
        </w:rPr>
      </w:pPr>
      <w:r>
        <w:rPr>
          <w:rFonts w:hint="eastAsia" w:ascii="宋体" w:hAnsi="宋体"/>
          <w:b/>
          <w:bCs/>
          <w:sz w:val="24"/>
          <w:szCs w:val="24"/>
        </w:rPr>
        <w:t>3</w:t>
      </w:r>
      <w:r>
        <w:rPr>
          <w:rFonts w:ascii="宋体" w:hAnsi="宋体"/>
          <w:b/>
          <w:bCs/>
          <w:sz w:val="24"/>
          <w:szCs w:val="24"/>
        </w:rPr>
        <w:t>.数据真实性承诺</w:t>
      </w:r>
      <w:r>
        <w:rPr>
          <w:rFonts w:ascii="宋体" w:hAnsi="宋体"/>
          <w:sz w:val="24"/>
          <w:szCs w:val="24"/>
        </w:rPr>
        <w:t>：乙方保证提供的数据与商业公司出货单据、终端门店验收记录完全一致，甲方有权随机抽查（抽查频率不低于每月1次），乙方需配合提供原始单据供核验。</w:t>
      </w:r>
    </w:p>
    <w:p w14:paraId="42198EA7">
      <w:pPr>
        <w:spacing w:line="360" w:lineRule="auto"/>
        <w:ind w:firstLine="482" w:firstLineChars="200"/>
        <w:rPr>
          <w:rFonts w:hint="eastAsia" w:ascii="宋体" w:hAnsi="宋体" w:eastAsiaTheme="minorEastAsia"/>
          <w:sz w:val="24"/>
          <w:szCs w:val="24"/>
        </w:rPr>
      </w:pPr>
      <w:r>
        <w:rPr>
          <w:rFonts w:hint="eastAsia" w:ascii="宋体" w:hAnsi="宋体"/>
          <w:b/>
          <w:bCs/>
          <w:sz w:val="24"/>
          <w:szCs w:val="24"/>
        </w:rPr>
        <w:t>4</w:t>
      </w:r>
      <w:r>
        <w:rPr>
          <w:rFonts w:ascii="宋体" w:hAnsi="宋体"/>
          <w:b/>
          <w:bCs/>
          <w:sz w:val="24"/>
          <w:szCs w:val="24"/>
        </w:rPr>
        <w:t>.数据缺失处理</w:t>
      </w:r>
      <w:r>
        <w:rPr>
          <w:rFonts w:ascii="宋体" w:hAnsi="宋体"/>
          <w:sz w:val="24"/>
          <w:szCs w:val="24"/>
        </w:rPr>
        <w:t>：若乙方未按约定时间或要求提供数据，甲方有权延迟</w:t>
      </w:r>
      <w:r>
        <w:rPr>
          <w:rFonts w:hint="eastAsia" w:ascii="宋体" w:hAnsi="宋体"/>
          <w:sz w:val="24"/>
          <w:szCs w:val="24"/>
        </w:rPr>
        <w:t>预算</w:t>
      </w:r>
      <w:r>
        <w:rPr>
          <w:rFonts w:ascii="宋体" w:hAnsi="宋体"/>
          <w:sz w:val="24"/>
          <w:szCs w:val="24"/>
        </w:rPr>
        <w:t>费用，延迟期限与数据补全期限一致；若超过15日仍未补全数据，视为对应周期内任务未达标。</w:t>
      </w:r>
    </w:p>
    <w:p w14:paraId="1AAC1BD9">
      <w:pPr>
        <w:spacing w:before="156" w:beforeLines="50" w:after="156" w:afterLines="50" w:line="360" w:lineRule="auto"/>
        <w:ind w:firstLine="482" w:firstLineChars="200"/>
        <w:rPr>
          <w:rFonts w:hint="eastAsia" w:ascii="宋体" w:hAnsi="宋体" w:eastAsiaTheme="minorEastAsia"/>
          <w:b/>
          <w:bCs/>
          <w:sz w:val="24"/>
          <w:szCs w:val="24"/>
        </w:rPr>
      </w:pPr>
      <w:r>
        <w:rPr>
          <w:rFonts w:ascii="宋体" w:hAnsi="宋体"/>
          <w:b/>
          <w:bCs/>
          <w:sz w:val="24"/>
          <w:szCs w:val="24"/>
        </w:rPr>
        <w:t>2.1.3数据造假的违约责任</w:t>
      </w:r>
    </w:p>
    <w:p w14:paraId="10E5D31B">
      <w:pPr>
        <w:spacing w:line="360" w:lineRule="auto"/>
        <w:ind w:firstLine="480" w:firstLineChars="200"/>
        <w:rPr>
          <w:rFonts w:hint="eastAsia" w:ascii="宋体" w:hAnsi="宋体" w:eastAsiaTheme="minorEastAsia"/>
          <w:sz w:val="24"/>
          <w:szCs w:val="24"/>
        </w:rPr>
      </w:pPr>
      <w:r>
        <w:rPr>
          <w:rFonts w:ascii="宋体" w:hAnsi="宋体"/>
          <w:sz w:val="24"/>
          <w:szCs w:val="24"/>
        </w:rPr>
        <w:t>若乙方提供虚假数据（包括但不限于篡改数量、伪造门店信息、重复报送数据等），甲方有权采取以下一项或多项措施：</w:t>
      </w:r>
    </w:p>
    <w:p w14:paraId="2C027AF2">
      <w:pPr>
        <w:spacing w:line="360" w:lineRule="auto"/>
        <w:ind w:firstLine="480" w:firstLineChars="200"/>
        <w:rPr>
          <w:rFonts w:hint="eastAsia" w:ascii="宋体" w:hAnsi="宋体" w:eastAsiaTheme="minorEastAsia"/>
          <w:sz w:val="24"/>
          <w:szCs w:val="24"/>
        </w:rPr>
      </w:pPr>
      <w:r>
        <w:rPr>
          <w:rFonts w:hint="eastAsia" w:ascii="宋体" w:hAnsi="宋体"/>
          <w:sz w:val="24"/>
          <w:szCs w:val="24"/>
        </w:rPr>
        <w:t>1</w:t>
      </w:r>
      <w:r>
        <w:rPr>
          <w:rFonts w:ascii="宋体" w:hAnsi="宋体"/>
          <w:sz w:val="24"/>
          <w:szCs w:val="24"/>
        </w:rPr>
        <w:t>.追回因虚假数据已支付的推广服务费（按差异数据对应金额计算）；</w:t>
      </w:r>
    </w:p>
    <w:p w14:paraId="23FAB19A">
      <w:pPr>
        <w:spacing w:line="360" w:lineRule="auto"/>
        <w:ind w:firstLine="480" w:firstLineChars="200"/>
        <w:rPr>
          <w:rFonts w:hint="eastAsia" w:ascii="宋体" w:hAnsi="宋体" w:eastAsiaTheme="minorEastAsia"/>
          <w:sz w:val="24"/>
          <w:szCs w:val="24"/>
        </w:rPr>
      </w:pPr>
      <w:r>
        <w:rPr>
          <w:rFonts w:hint="eastAsia" w:ascii="宋体" w:hAnsi="宋体"/>
          <w:sz w:val="24"/>
          <w:szCs w:val="24"/>
        </w:rPr>
        <w:t>2</w:t>
      </w:r>
      <w:r>
        <w:rPr>
          <w:rFonts w:ascii="宋体" w:hAnsi="宋体"/>
          <w:sz w:val="24"/>
          <w:szCs w:val="24"/>
        </w:rPr>
        <w:t>.按虚假数据对应金额的3倍向乙方收取违约金；</w:t>
      </w:r>
    </w:p>
    <w:p w14:paraId="0B6CCD90">
      <w:pPr>
        <w:spacing w:line="360" w:lineRule="auto"/>
        <w:ind w:firstLine="480" w:firstLineChars="200"/>
        <w:rPr>
          <w:rFonts w:hint="eastAsia" w:ascii="宋体" w:hAnsi="宋体" w:eastAsiaTheme="minorEastAsia"/>
          <w:sz w:val="24"/>
          <w:szCs w:val="24"/>
        </w:rPr>
      </w:pPr>
      <w:r>
        <w:rPr>
          <w:rFonts w:hint="eastAsia" w:ascii="宋体" w:hAnsi="宋体"/>
          <w:sz w:val="24"/>
          <w:szCs w:val="24"/>
        </w:rPr>
        <w:t>3</w:t>
      </w:r>
      <w:r>
        <w:rPr>
          <w:rFonts w:ascii="宋体" w:hAnsi="宋体"/>
          <w:sz w:val="24"/>
          <w:szCs w:val="24"/>
        </w:rPr>
        <w:t>.单方终止本协议，且乙方需赔偿甲方因此产生的全部损失（包括但不限于品牌损失、调查费用）。</w:t>
      </w:r>
    </w:p>
    <w:p w14:paraId="6649DE7C">
      <w:pPr>
        <w:spacing w:before="156" w:beforeLines="50" w:after="156" w:afterLines="50" w:line="360" w:lineRule="auto"/>
        <w:ind w:firstLine="482" w:firstLineChars="200"/>
        <w:rPr>
          <w:rFonts w:hint="eastAsia" w:ascii="宋体" w:hAnsi="宋体"/>
          <w:b/>
          <w:bCs/>
          <w:sz w:val="24"/>
          <w:szCs w:val="24"/>
        </w:rPr>
      </w:pPr>
      <w:r>
        <w:rPr>
          <w:rFonts w:hint="eastAsia" w:ascii="宋体" w:hAnsi="宋体"/>
          <w:b/>
          <w:bCs/>
          <w:sz w:val="24"/>
          <w:szCs w:val="24"/>
        </w:rPr>
        <w:t>2</w:t>
      </w:r>
      <w:r>
        <w:rPr>
          <w:rFonts w:ascii="宋体" w:hAnsi="宋体"/>
          <w:b/>
          <w:bCs/>
          <w:sz w:val="24"/>
          <w:szCs w:val="24"/>
        </w:rPr>
        <w:t>.2费用</w:t>
      </w:r>
      <w:r>
        <w:rPr>
          <w:rFonts w:hint="eastAsia" w:ascii="宋体" w:hAnsi="宋体"/>
          <w:b/>
          <w:bCs/>
          <w:sz w:val="24"/>
          <w:szCs w:val="24"/>
        </w:rPr>
        <w:t>结算</w:t>
      </w:r>
    </w:p>
    <w:p w14:paraId="3B1A538B">
      <w:pPr>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.本协议第2.1条约定的 “费用预算”，是甲方支付推广服务费的</w:t>
      </w:r>
      <w:r>
        <w:rPr>
          <w:rFonts w:ascii="宋体" w:hAnsi="宋体"/>
          <w:b/>
          <w:bCs/>
          <w:sz w:val="24"/>
          <w:szCs w:val="24"/>
        </w:rPr>
        <w:t>最高限额</w:t>
      </w:r>
      <w:r>
        <w:rPr>
          <w:rFonts w:ascii="宋体" w:hAnsi="宋体"/>
          <w:sz w:val="24"/>
          <w:szCs w:val="24"/>
        </w:rPr>
        <w:t>，实际</w:t>
      </w:r>
      <w:r>
        <w:rPr>
          <w:rFonts w:hint="eastAsia" w:ascii="宋体" w:hAnsi="宋体"/>
          <w:sz w:val="24"/>
          <w:szCs w:val="24"/>
        </w:rPr>
        <w:t>推广服务费根据双方另行签订的《202</w:t>
      </w:r>
      <w:r>
        <w:rPr>
          <w:rFonts w:hint="eastAsia" w:ascii="宋体" w:hAnsi="宋体"/>
          <w:sz w:val="24"/>
          <w:szCs w:val="24"/>
          <w:lang w:val="en-US" w:eastAsia="zh-CN"/>
        </w:rPr>
        <w:t>6</w:t>
      </w:r>
      <w:r>
        <w:rPr>
          <w:rFonts w:hint="eastAsia" w:ascii="宋体" w:hAnsi="宋体"/>
          <w:sz w:val="24"/>
          <w:szCs w:val="24"/>
        </w:rPr>
        <w:t>年年度服务协议》约定的市场推广服务工作完成情况进行实际结算，并按该协议服务费结算相关约定执行。</w:t>
      </w:r>
    </w:p>
    <w:p w14:paraId="3F4428C1">
      <w:pPr>
        <w:spacing w:before="156" w:beforeLines="50" w:after="156" w:afterLines="50" w:line="360" w:lineRule="auto"/>
        <w:rPr>
          <w:rFonts w:hint="eastAsia" w:ascii="宋体" w:hAnsi="宋体"/>
          <w:b/>
          <w:bCs/>
          <w:sz w:val="28"/>
          <w:szCs w:val="28"/>
        </w:rPr>
      </w:pPr>
      <w:r>
        <w:rPr>
          <w:rFonts w:ascii="宋体" w:hAnsi="宋体"/>
          <w:b/>
          <w:bCs/>
          <w:sz w:val="28"/>
          <w:szCs w:val="28"/>
        </w:rPr>
        <w:t>三、经销范围</w:t>
      </w:r>
    </w:p>
    <w:p w14:paraId="32FB1C33">
      <w:pPr>
        <w:spacing w:before="156" w:beforeLines="50" w:after="156" w:afterLines="50" w:line="360" w:lineRule="auto"/>
        <w:rPr>
          <w:rFonts w:hint="eastAsia" w:ascii="宋体" w:hAnsi="宋体"/>
          <w:b/>
          <w:bCs/>
          <w:sz w:val="24"/>
          <w:szCs w:val="24"/>
        </w:rPr>
      </w:pPr>
      <w:r>
        <w:rPr>
          <w:rFonts w:ascii="宋体" w:hAnsi="宋体"/>
          <w:b/>
          <w:bCs/>
          <w:sz w:val="24"/>
          <w:szCs w:val="24"/>
        </w:rPr>
        <w:t>3.1授权经销渠道</w:t>
      </w:r>
    </w:p>
    <w:p w14:paraId="25E54168">
      <w:pPr>
        <w:spacing w:line="360" w:lineRule="auto"/>
        <w:ind w:firstLine="480" w:firstLineChars="200"/>
        <w:rPr>
          <w:rFonts w:hint="eastAsia" w:ascii="宋体" w:hAnsi="宋体"/>
          <w:sz w:val="24"/>
          <w:szCs w:val="24"/>
        </w:rPr>
      </w:pPr>
      <w:r>
        <w:rPr>
          <w:rFonts w:ascii="宋体" w:hAnsi="宋体"/>
          <w:sz w:val="24"/>
          <w:szCs w:val="24"/>
        </w:rPr>
        <w:t>乙方仅有权通过以下渠道经销甲方协议产品：</w:t>
      </w:r>
    </w:p>
    <w:p w14:paraId="296C9779">
      <w:pPr>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.乙方自身下属门店（含直营门店、加盟门店，加盟门店需提供乙方与加盟商的授权协议复印件）；</w:t>
      </w:r>
    </w:p>
    <w:p w14:paraId="43AA1B7C">
      <w:pPr>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.乙方关联公司下属门店（关联公司需满足“乙方直接或间接持股≥50%”或“乙方实际控制”，且需提前向甲方备案关联公司名单）。</w:t>
      </w:r>
    </w:p>
    <w:p w14:paraId="6133090D">
      <w:pPr>
        <w:spacing w:before="156" w:beforeLines="50" w:after="156" w:afterLines="50" w:line="360" w:lineRule="auto"/>
        <w:rPr>
          <w:rFonts w:hint="eastAsia" w:ascii="微软雅黑" w:hAnsi="微软雅黑" w:eastAsia="微软雅黑"/>
          <w:sz w:val="20"/>
          <w:szCs w:val="20"/>
        </w:rPr>
      </w:pPr>
      <w:r>
        <w:rPr>
          <w:rFonts w:ascii="宋体" w:hAnsi="宋体"/>
          <w:b/>
          <w:bCs/>
          <w:sz w:val="24"/>
          <w:szCs w:val="24"/>
        </w:rPr>
        <w:t>3.2禁止经销渠道与违约责任</w:t>
      </w:r>
    </w:p>
    <w:p w14:paraId="2DADD4DE">
      <w:pPr>
        <w:spacing w:line="360" w:lineRule="auto"/>
        <w:ind w:firstLine="480" w:firstLineChars="200"/>
        <w:rPr>
          <w:rFonts w:hint="eastAsia" w:ascii="宋体" w:hAnsi="宋体"/>
          <w:sz w:val="24"/>
          <w:szCs w:val="24"/>
        </w:rPr>
      </w:pPr>
      <w:r>
        <w:rPr>
          <w:rFonts w:ascii="宋体" w:hAnsi="宋体"/>
          <w:sz w:val="24"/>
          <w:szCs w:val="24"/>
        </w:rPr>
        <w:t>乙方不得通过以下渠道经销协议产品，否则视为违约：</w:t>
      </w:r>
    </w:p>
    <w:p w14:paraId="0730F64C">
      <w:pPr>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.商业经销（即向非授权门店或第三方企业转售产品）；</w:t>
      </w:r>
    </w:p>
    <w:p w14:paraId="06AA7C43">
      <w:pPr>
        <w:spacing w:line="360" w:lineRule="auto"/>
        <w:ind w:firstLine="480" w:firstLineChars="200"/>
        <w:rPr>
          <w:rFonts w:hint="eastAsia" w:ascii="宋体" w:hAnsi="宋体"/>
          <w:sz w:val="24"/>
          <w:szCs w:val="24"/>
          <w:lang w:val="en-US" w:eastAsia="zh-CN"/>
        </w:rPr>
      </w:pPr>
      <w:r>
        <w:rPr>
          <w:rFonts w:hint="eastAsia" w:ascii="宋体" w:hAnsi="宋体"/>
          <w:sz w:val="24"/>
          <w:szCs w:val="24"/>
        </w:rPr>
        <w:t>2</w:t>
      </w:r>
      <w:r>
        <w:rPr>
          <w:rFonts w:ascii="宋体" w:hAnsi="宋体"/>
          <w:sz w:val="24"/>
          <w:szCs w:val="24"/>
        </w:rPr>
        <w:t>.线上B端电商平台（如</w:t>
      </w:r>
      <w:r>
        <w:rPr>
          <w:rFonts w:hint="eastAsia" w:ascii="宋体" w:hAnsi="宋体"/>
          <w:sz w:val="24"/>
          <w:szCs w:val="24"/>
        </w:rPr>
        <w:t>壹药网、药师帮等</w:t>
      </w:r>
      <w:r>
        <w:rPr>
          <w:rFonts w:ascii="宋体" w:hAnsi="宋体"/>
          <w:sz w:val="24"/>
          <w:szCs w:val="24"/>
        </w:rPr>
        <w:t>电商平台）；</w:t>
      </w:r>
    </w:p>
    <w:p w14:paraId="70D63416">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lang w:val="en-US" w:eastAsia="zh-CN"/>
        </w:rPr>
        <w:t>3.</w:t>
      </w:r>
      <w:r>
        <w:rPr>
          <w:rFonts w:hint="eastAsia" w:ascii="宋体" w:hAnsi="宋体" w:cs="宋体"/>
          <w:sz w:val="24"/>
          <w:szCs w:val="24"/>
          <w:lang w:val="en-US" w:eastAsia="zh-CN"/>
        </w:rPr>
        <w:t>拼多多</w:t>
      </w:r>
      <w:r>
        <w:rPr>
          <w:rFonts w:ascii="宋体" w:hAnsi="宋体" w:eastAsia="宋体" w:cs="宋体"/>
          <w:sz w:val="24"/>
          <w:szCs w:val="24"/>
        </w:rPr>
        <w:t>渠道经销</w:t>
      </w:r>
    </w:p>
    <w:p w14:paraId="5DA37E25">
      <w:pPr>
        <w:spacing w:line="360" w:lineRule="auto"/>
        <w:ind w:firstLine="480" w:firstLineChars="200"/>
        <w:rPr>
          <w:rFonts w:hint="eastAsia" w:ascii="宋体" w:hAnsi="宋体"/>
          <w:sz w:val="24"/>
          <w:szCs w:val="24"/>
        </w:rPr>
      </w:pPr>
      <w:r>
        <w:rPr>
          <w:rFonts w:ascii="宋体" w:hAnsi="宋体"/>
          <w:sz w:val="24"/>
          <w:szCs w:val="24"/>
        </w:rPr>
        <w:t>若乙方违反上述约定，甲方有权采取以下措施：</w:t>
      </w:r>
    </w:p>
    <w:p w14:paraId="4800FB3F">
      <w:pPr>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.将乙方在违规平台经销产品的 “发货对应月份” 全部门店终端流向数据，不计入当月预算费用核算或推广效果评估范围；</w:t>
      </w:r>
    </w:p>
    <w:p w14:paraId="486BE110">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.若对应月份费用已预算或已支付，甲方有权要求乙方返还已支付费用，或在未支付费用中直接扣除（扣除金额不超过违规对应金额的2倍）。</w:t>
      </w:r>
    </w:p>
    <w:p w14:paraId="70B9BA6F">
      <w:pPr>
        <w:spacing w:line="360" w:lineRule="auto"/>
        <w:ind w:firstLine="0" w:firstLineChars="0"/>
        <w:rPr>
          <w:rFonts w:hint="default" w:ascii="宋体" w:hAnsi="宋体" w:eastAsia="宋体"/>
          <w:sz w:val="24"/>
          <w:szCs w:val="24"/>
          <w:lang w:val="en-US" w:eastAsia="zh-CN"/>
        </w:rPr>
      </w:pPr>
      <w:r>
        <w:rPr>
          <w:rFonts w:hint="eastAsia" w:ascii="宋体" w:hAnsi="宋体"/>
          <w:sz w:val="24"/>
          <w:szCs w:val="24"/>
          <w:lang w:val="en-US" w:eastAsia="zh-CN"/>
        </w:rPr>
        <w:t>3.3乙方不得</w:t>
      </w:r>
      <w:r>
        <w:rPr>
          <w:rFonts w:hint="eastAsia" w:ascii="宋体" w:hAnsi="宋体"/>
          <w:sz w:val="24"/>
          <w:szCs w:val="24"/>
        </w:rPr>
        <w:t>在 020 平台(如美团、闪购、饿了么等)或C端电商平台(如天猫、京东等)开设的店铺</w:t>
      </w:r>
      <w:r>
        <w:rPr>
          <w:rFonts w:hint="eastAsia" w:ascii="宋体" w:hAnsi="宋体"/>
          <w:sz w:val="24"/>
          <w:szCs w:val="24"/>
          <w:lang w:val="en-US" w:eastAsia="zh-CN"/>
        </w:rPr>
        <w:t>中，实施扰乱市场秩序、影响品牌价值和恶意操控市场等损害甲方利益的行为，否则甲方有权要求乙方赔偿由此给甲方造成的全部损失，并赔偿甲方</w:t>
      </w:r>
      <w:r>
        <w:rPr>
          <w:rFonts w:ascii="宋体" w:hAnsi="宋体"/>
          <w:color w:val="000000" w:themeColor="text1"/>
          <w:sz w:val="24"/>
          <w:szCs w:val="24"/>
          <w14:textFill>
            <w14:solidFill>
              <w14:schemeClr w14:val="tx1"/>
            </w14:solidFill>
          </w14:textFill>
        </w:rPr>
        <w:t>销售数量乘以10倍中标价</w:t>
      </w:r>
      <w:r>
        <w:rPr>
          <w:rFonts w:hint="eastAsia" w:ascii="宋体" w:hAnsi="宋体"/>
          <w:sz w:val="24"/>
          <w:szCs w:val="24"/>
          <w:lang w:val="en-US" w:eastAsia="zh-CN"/>
        </w:rPr>
        <w:t>违约金。</w:t>
      </w:r>
    </w:p>
    <w:p w14:paraId="590315C0">
      <w:pPr>
        <w:spacing w:before="156" w:beforeLines="50" w:after="156" w:afterLines="50" w:line="360" w:lineRule="auto"/>
        <w:rPr>
          <w:rFonts w:hint="eastAsia" w:ascii="宋体" w:hAnsi="宋体"/>
          <w:b/>
          <w:bCs/>
          <w:sz w:val="28"/>
          <w:szCs w:val="28"/>
        </w:rPr>
      </w:pPr>
      <w:r>
        <w:rPr>
          <w:rFonts w:ascii="宋体" w:hAnsi="宋体"/>
          <w:b/>
          <w:bCs/>
          <w:sz w:val="28"/>
          <w:szCs w:val="28"/>
        </w:rPr>
        <w:t>四、进货商业公司</w:t>
      </w:r>
    </w:p>
    <w:p w14:paraId="338891A5">
      <w:pPr>
        <w:spacing w:line="360" w:lineRule="auto"/>
        <w:ind w:firstLine="480" w:firstLineChars="200"/>
        <w:rPr>
          <w:rFonts w:hint="eastAsia" w:ascii="宋体" w:hAnsi="宋体"/>
          <w:sz w:val="24"/>
          <w:szCs w:val="24"/>
        </w:rPr>
      </w:pPr>
      <w:r>
        <w:rPr>
          <w:rFonts w:ascii="宋体" w:hAnsi="宋体"/>
          <w:sz w:val="24"/>
          <w:szCs w:val="24"/>
        </w:rPr>
        <w:t>甲乙双方共同确认，本协议项下合作产品的</w:t>
      </w:r>
      <w:r>
        <w:rPr>
          <w:rFonts w:ascii="宋体" w:hAnsi="宋体"/>
          <w:b/>
          <w:bCs/>
          <w:sz w:val="24"/>
          <w:szCs w:val="24"/>
        </w:rPr>
        <w:t>唯一规划商业公司</w:t>
      </w:r>
      <w:r>
        <w:rPr>
          <w:rFonts w:ascii="宋体" w:hAnsi="宋体"/>
          <w:sz w:val="24"/>
          <w:szCs w:val="24"/>
        </w:rPr>
        <w:t>为：</w:t>
      </w:r>
    </w:p>
    <w:p w14:paraId="6AEB22CE">
      <w:pPr>
        <w:spacing w:line="360" w:lineRule="auto"/>
        <w:ind w:firstLine="480" w:firstLineChars="200"/>
        <w:rPr>
          <w:rFonts w:hint="eastAsia" w:ascii="宋体" w:hAnsi="宋体"/>
          <w:sz w:val="24"/>
          <w:szCs w:val="24"/>
        </w:rPr>
      </w:pPr>
      <w:r>
        <w:rPr>
          <w:rFonts w:hint="eastAsia" w:ascii="宋体" w:hAnsi="宋体"/>
          <w:sz w:val="24"/>
          <w:szCs w:val="24"/>
        </w:rPr>
        <w:t>1</w:t>
      </w:r>
      <w:r>
        <w:rPr>
          <w:rFonts w:ascii="宋体" w:hAnsi="宋体"/>
          <w:sz w:val="24"/>
          <w:szCs w:val="24"/>
        </w:rPr>
        <w:t>.华润广东医药有限公司；</w:t>
      </w:r>
    </w:p>
    <w:p w14:paraId="22A935E0">
      <w:pPr>
        <w:spacing w:line="360" w:lineRule="auto"/>
        <w:ind w:firstLine="480" w:firstLineChars="200"/>
        <w:rPr>
          <w:rFonts w:hint="eastAsia" w:ascii="宋体" w:hAnsi="宋体"/>
          <w:sz w:val="24"/>
          <w:szCs w:val="24"/>
        </w:rPr>
      </w:pPr>
      <w:r>
        <w:rPr>
          <w:rFonts w:hint="eastAsia" w:ascii="宋体" w:hAnsi="宋体"/>
          <w:sz w:val="24"/>
          <w:szCs w:val="24"/>
        </w:rPr>
        <w:t>2</w:t>
      </w:r>
      <w:r>
        <w:rPr>
          <w:rFonts w:ascii="宋体" w:hAnsi="宋体"/>
          <w:sz w:val="24"/>
          <w:szCs w:val="24"/>
        </w:rPr>
        <w:t>.重庆医药和平医药批发有限公司。</w:t>
      </w:r>
    </w:p>
    <w:p w14:paraId="19484906">
      <w:pPr>
        <w:spacing w:line="360" w:lineRule="auto"/>
        <w:ind w:firstLine="480" w:firstLineChars="200"/>
        <w:rPr>
          <w:rFonts w:hint="eastAsia" w:ascii="宋体" w:hAnsi="宋体"/>
          <w:sz w:val="24"/>
          <w:szCs w:val="24"/>
        </w:rPr>
      </w:pPr>
      <w:r>
        <w:rPr>
          <w:rFonts w:ascii="宋体" w:hAnsi="宋体"/>
          <w:sz w:val="24"/>
          <w:szCs w:val="24"/>
        </w:rPr>
        <w:t>乙方需通过上述规划商业公司进行要货、配送，不得通过其他商业公司采购协议产品；若需新增规划商业公司，需经双方书面确认后补充至本条款。</w:t>
      </w:r>
    </w:p>
    <w:p w14:paraId="1AB15123">
      <w:pPr>
        <w:spacing w:before="156" w:beforeLines="50" w:after="156" w:afterLines="50" w:line="360" w:lineRule="auto"/>
        <w:rPr>
          <w:rFonts w:hint="eastAsia" w:ascii="宋体" w:hAnsi="宋体"/>
          <w:b/>
          <w:bCs/>
          <w:sz w:val="28"/>
          <w:szCs w:val="28"/>
        </w:rPr>
      </w:pPr>
      <w:r>
        <w:rPr>
          <w:rFonts w:hint="eastAsia" w:ascii="宋体" w:hAnsi="宋体"/>
          <w:b/>
          <w:bCs/>
          <w:sz w:val="28"/>
          <w:szCs w:val="28"/>
        </w:rPr>
        <w:t>五、其他约定</w:t>
      </w:r>
    </w:p>
    <w:p w14:paraId="5FE05DF8">
      <w:pPr>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 xml:space="preserve">1 </w:t>
      </w:r>
      <w:r>
        <w:rPr>
          <w:rFonts w:hint="eastAsia" w:ascii="宋体" w:hAnsi="宋体"/>
          <w:sz w:val="24"/>
          <w:szCs w:val="24"/>
        </w:rPr>
        <w:t>乙方应维护甲方产品品牌形象，</w:t>
      </w:r>
      <w:r>
        <w:rPr>
          <w:rFonts w:hint="eastAsia" w:ascii="宋体" w:hAnsi="宋体"/>
          <w:color w:val="000000" w:themeColor="text1"/>
          <w:sz w:val="24"/>
          <w:szCs w:val="24"/>
          <w14:textFill>
            <w14:solidFill>
              <w14:schemeClr w14:val="tx1"/>
            </w14:solidFill>
          </w14:textFill>
        </w:rPr>
        <w:t>维持产品在门店销售的稳定性和合规性，不能进行扰乱甲方产品市场秩序等活动，</w:t>
      </w:r>
      <w:r>
        <w:rPr>
          <w:rFonts w:hint="eastAsia" w:ascii="宋体" w:hAnsi="宋体"/>
          <w:sz w:val="24"/>
          <w:szCs w:val="24"/>
        </w:rPr>
        <w:t>若乙方未经甲方同意单方面进行上述活动，甲方有权立即终止此协议。</w:t>
      </w:r>
    </w:p>
    <w:p w14:paraId="075E4FC3">
      <w:pPr>
        <w:spacing w:line="360" w:lineRule="auto"/>
        <w:ind w:firstLine="480" w:firstLineChars="200"/>
        <w:rPr>
          <w:rFonts w:hint="eastAsia" w:ascii="微软雅黑" w:hAnsi="微软雅黑" w:eastAsia="微软雅黑"/>
          <w:color w:val="000000" w:themeColor="text1"/>
          <w:sz w:val="20"/>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5.2</w:t>
      </w:r>
      <w:r>
        <w:rPr>
          <w:rFonts w:ascii="宋体" w:hAnsi="宋体"/>
          <w:color w:val="000000" w:themeColor="text1"/>
          <w:sz w:val="24"/>
          <w:szCs w:val="24"/>
          <w14:textFill>
            <w14:solidFill>
              <w14:schemeClr w14:val="tx1"/>
            </w14:solidFill>
          </w14:textFill>
        </w:rPr>
        <w:t>如果乙方在非授权渠道销售合作产品，则甲方有权要求乙方按违约渠道销售产品的销售数量乘以10倍中标价的标准赔偿甲方违约赔偿金</w:t>
      </w:r>
    </w:p>
    <w:p w14:paraId="5DE06440">
      <w:pPr>
        <w:spacing w:line="360" w:lineRule="auto"/>
        <w:ind w:firstLine="480" w:firstLineChars="200"/>
        <w:rPr>
          <w:rFonts w:hint="eastAsia" w:ascii="宋体" w:hAnsi="宋体" w:eastAsiaTheme="minorEastAsia"/>
          <w:sz w:val="24"/>
          <w:szCs w:val="24"/>
        </w:rPr>
      </w:pPr>
      <w:r>
        <w:rPr>
          <w:rFonts w:hint="eastAsia" w:ascii="宋体" w:hAnsi="宋体"/>
          <w:sz w:val="24"/>
          <w:szCs w:val="24"/>
        </w:rPr>
        <w:t>5.3</w:t>
      </w:r>
      <w:r>
        <w:rPr>
          <w:rFonts w:ascii="宋体" w:hAnsi="宋体"/>
          <w:sz w:val="24"/>
          <w:szCs w:val="24"/>
        </w:rPr>
        <w:t xml:space="preserve"> </w:t>
      </w:r>
      <w:r>
        <w:rPr>
          <w:rFonts w:hint="eastAsia" w:ascii="宋体" w:hAnsi="宋体"/>
          <w:sz w:val="24"/>
          <w:szCs w:val="24"/>
        </w:rPr>
        <w:t>甲方有权对合作产品的经营活动进行监督检查。</w:t>
      </w:r>
      <w:r>
        <w:rPr>
          <w:rFonts w:ascii="宋体" w:hAnsi="宋体"/>
          <w:sz w:val="24"/>
          <w:szCs w:val="24"/>
        </w:rPr>
        <w:t>包括但不限于：查阅门店销售台账、库存记录；实地检查门店陈列、促销活动；核验与规划商业公司的采购单据。乙方需配合甲方的监督检查，不得拒绝或隐瞒相关信息。</w:t>
      </w:r>
    </w:p>
    <w:p w14:paraId="54ACC719">
      <w:pPr>
        <w:spacing w:line="360" w:lineRule="auto"/>
        <w:ind w:firstLine="480" w:firstLineChars="200"/>
        <w:rPr>
          <w:rFonts w:hint="eastAsia" w:ascii="宋体" w:hAnsi="宋体"/>
          <w:sz w:val="24"/>
          <w:szCs w:val="24"/>
        </w:rPr>
      </w:pPr>
      <w:r>
        <w:rPr>
          <w:rFonts w:hint="eastAsia" w:ascii="宋体" w:hAnsi="宋体"/>
          <w:sz w:val="24"/>
          <w:szCs w:val="24"/>
        </w:rPr>
        <w:t>5.4</w:t>
      </w:r>
      <w:r>
        <w:rPr>
          <w:rFonts w:ascii="宋体" w:hAnsi="宋体"/>
          <w:sz w:val="24"/>
          <w:szCs w:val="24"/>
        </w:rPr>
        <w:t xml:space="preserve"> </w:t>
      </w:r>
      <w:r>
        <w:rPr>
          <w:rFonts w:hint="eastAsia" w:ascii="宋体" w:hAnsi="宋体"/>
          <w:sz w:val="24"/>
          <w:szCs w:val="24"/>
        </w:rPr>
        <w:t>保密：本协议的内容以及乙方在本协议项下知悉的与甲方产品、价格或业务有关的任何非公开信息均为甲方的保密信息。未经甲方提前书面允许，乙方不应将任何上述信息披露给第三方。乙方上述保密义务应在本协议终止后持续有效。若乙方违反保密义务，甲方有权解除协议，给甲方造成损失的，则乙方还将按照甲方实际损失进行赔偿。</w:t>
      </w:r>
    </w:p>
    <w:p w14:paraId="31E815A6">
      <w:pPr>
        <w:spacing w:before="156" w:beforeLines="50" w:after="156" w:afterLines="50" w:line="360" w:lineRule="auto"/>
        <w:rPr>
          <w:rFonts w:hint="eastAsia" w:ascii="宋体" w:hAnsi="宋体"/>
          <w:b/>
          <w:bCs/>
          <w:sz w:val="28"/>
          <w:szCs w:val="28"/>
        </w:rPr>
      </w:pPr>
      <w:r>
        <w:rPr>
          <w:rFonts w:ascii="宋体" w:hAnsi="宋体"/>
          <w:b/>
          <w:bCs/>
          <w:sz w:val="28"/>
          <w:szCs w:val="28"/>
        </w:rPr>
        <w:t>六、协议期限</w:t>
      </w:r>
    </w:p>
    <w:p w14:paraId="2041E05A">
      <w:pPr>
        <w:pStyle w:val="12"/>
        <w:spacing w:line="360" w:lineRule="auto"/>
        <w:ind w:left="480" w:firstLine="480"/>
        <w:rPr>
          <w:rFonts w:hint="eastAsia" w:ascii="宋体" w:hAnsi="宋体"/>
          <w:b/>
          <w:bCs/>
          <w:sz w:val="24"/>
          <w:szCs w:val="24"/>
          <w:u w:val="single"/>
        </w:rPr>
      </w:pPr>
      <w:r>
        <w:rPr>
          <w:rFonts w:ascii="宋体" w:hAnsi="宋体"/>
          <w:sz w:val="24"/>
          <w:szCs w:val="24"/>
        </w:rPr>
        <w:t>本协议有效期自</w:t>
      </w:r>
      <w:r>
        <w:rPr>
          <w:rFonts w:ascii="宋体" w:hAnsi="宋体"/>
          <w:b/>
          <w:bCs/>
          <w:sz w:val="24"/>
          <w:szCs w:val="24"/>
          <w:u w:val="single"/>
        </w:rPr>
        <w:t>202</w:t>
      </w:r>
      <w:r>
        <w:rPr>
          <w:rFonts w:hint="eastAsia" w:ascii="宋体" w:hAnsi="宋体"/>
          <w:b/>
          <w:bCs/>
          <w:sz w:val="24"/>
          <w:szCs w:val="24"/>
          <w:u w:val="single"/>
        </w:rPr>
        <w:t>6</w:t>
      </w:r>
      <w:r>
        <w:rPr>
          <w:rFonts w:ascii="宋体" w:hAnsi="宋体"/>
          <w:b/>
          <w:bCs/>
          <w:sz w:val="24"/>
          <w:szCs w:val="24"/>
          <w:u w:val="single"/>
        </w:rPr>
        <w:t>年</w:t>
      </w:r>
      <w:r>
        <w:rPr>
          <w:rFonts w:hint="eastAsia" w:ascii="宋体" w:hAnsi="宋体"/>
          <w:b/>
          <w:bCs/>
          <w:sz w:val="24"/>
          <w:szCs w:val="24"/>
          <w:u w:val="single"/>
        </w:rPr>
        <w:t>1</w:t>
      </w:r>
      <w:r>
        <w:rPr>
          <w:rFonts w:ascii="宋体" w:hAnsi="宋体"/>
          <w:b/>
          <w:bCs/>
          <w:sz w:val="24"/>
          <w:szCs w:val="24"/>
          <w:u w:val="single"/>
        </w:rPr>
        <w:t>月1日起至2026年</w:t>
      </w:r>
      <w:r>
        <w:rPr>
          <w:rFonts w:hint="eastAsia" w:ascii="宋体" w:hAnsi="宋体"/>
          <w:b/>
          <w:bCs/>
          <w:sz w:val="24"/>
          <w:szCs w:val="24"/>
          <w:u w:val="single"/>
        </w:rPr>
        <w:t>12</w:t>
      </w:r>
      <w:r>
        <w:rPr>
          <w:rFonts w:ascii="宋体" w:hAnsi="宋体"/>
          <w:b/>
          <w:bCs/>
          <w:sz w:val="24"/>
          <w:szCs w:val="24"/>
          <w:u w:val="single"/>
        </w:rPr>
        <w:t>月31日止</w:t>
      </w:r>
    </w:p>
    <w:p w14:paraId="0211D736">
      <w:pPr>
        <w:spacing w:before="156" w:beforeLines="50" w:after="156" w:afterLines="50" w:line="360" w:lineRule="auto"/>
        <w:rPr>
          <w:rFonts w:hint="eastAsia" w:ascii="宋体" w:hAnsi="宋体"/>
          <w:b/>
          <w:bCs/>
          <w:sz w:val="28"/>
          <w:szCs w:val="28"/>
        </w:rPr>
      </w:pPr>
      <w:r>
        <w:rPr>
          <w:rFonts w:hint="eastAsia" w:ascii="宋体" w:hAnsi="宋体"/>
          <w:b/>
          <w:bCs/>
          <w:sz w:val="28"/>
          <w:szCs w:val="28"/>
        </w:rPr>
        <w:t>七、违约</w:t>
      </w:r>
    </w:p>
    <w:p w14:paraId="0C6F2F00">
      <w:pPr>
        <w:spacing w:line="360" w:lineRule="auto"/>
        <w:ind w:firstLine="480" w:firstLineChars="200"/>
        <w:rPr>
          <w:rFonts w:hint="eastAsia" w:ascii="宋体" w:hAnsi="宋体" w:cs="Cambria Math"/>
          <w:sz w:val="24"/>
          <w:szCs w:val="24"/>
        </w:rPr>
      </w:pPr>
      <w:r>
        <w:rPr>
          <w:rFonts w:hint="eastAsia" w:ascii="宋体" w:hAnsi="宋体" w:cs="Cambria Math"/>
          <w:sz w:val="24"/>
          <w:szCs w:val="24"/>
        </w:rPr>
        <w:t>7.1 若乙方未完成本协议约定任务或未履行本协议约定义务，甲方有权单方终止本协议，终止后的相关事宜双方另行商定。</w:t>
      </w:r>
    </w:p>
    <w:p w14:paraId="413C6D43">
      <w:pPr>
        <w:spacing w:line="360" w:lineRule="auto"/>
        <w:ind w:firstLine="480" w:firstLineChars="200"/>
        <w:rPr>
          <w:rFonts w:hint="eastAsia" w:ascii="宋体" w:hAnsi="宋体" w:cs="Cambria Math"/>
          <w:sz w:val="24"/>
          <w:szCs w:val="24"/>
        </w:rPr>
      </w:pPr>
      <w:r>
        <w:rPr>
          <w:rFonts w:hint="eastAsia" w:ascii="宋体" w:hAnsi="宋体" w:cs="Cambria Math"/>
          <w:sz w:val="24"/>
          <w:szCs w:val="24"/>
        </w:rPr>
        <w:t>7.2 在本协议有效期限内，甲乙双方必须认真遵守本合同各项条款，如有一方违约给对方造成经济损失的，违约方应承担赔偿责任。</w:t>
      </w:r>
    </w:p>
    <w:p w14:paraId="22DD0D95">
      <w:pPr>
        <w:spacing w:before="156" w:beforeLines="50" w:after="156" w:afterLines="50" w:line="360" w:lineRule="auto"/>
        <w:rPr>
          <w:rFonts w:hint="eastAsia" w:ascii="宋体" w:hAnsi="宋体"/>
          <w:b/>
          <w:bCs/>
          <w:sz w:val="28"/>
          <w:szCs w:val="28"/>
        </w:rPr>
      </w:pPr>
      <w:r>
        <w:rPr>
          <w:rFonts w:ascii="宋体" w:hAnsi="宋体"/>
          <w:b/>
          <w:bCs/>
          <w:sz w:val="28"/>
          <w:szCs w:val="28"/>
        </w:rPr>
        <w:t>八、附则</w:t>
      </w:r>
    </w:p>
    <w:p w14:paraId="161E6D00">
      <w:pPr>
        <w:spacing w:before="156" w:beforeLines="50" w:after="156" w:afterLines="50" w:line="360" w:lineRule="auto"/>
        <w:rPr>
          <w:rFonts w:hint="eastAsia" w:ascii="宋体" w:hAnsi="宋体"/>
          <w:b/>
          <w:bCs/>
          <w:sz w:val="24"/>
          <w:szCs w:val="24"/>
        </w:rPr>
      </w:pPr>
      <w:r>
        <w:rPr>
          <w:rFonts w:ascii="宋体" w:hAnsi="宋体"/>
          <w:b/>
          <w:bCs/>
          <w:sz w:val="24"/>
          <w:szCs w:val="24"/>
        </w:rPr>
        <w:t>8.1协议份数</w:t>
      </w:r>
    </w:p>
    <w:p w14:paraId="758801B1">
      <w:pPr>
        <w:spacing w:line="360" w:lineRule="auto"/>
        <w:ind w:firstLine="480" w:firstLineChars="200"/>
        <w:rPr>
          <w:rFonts w:hint="eastAsia" w:ascii="宋体" w:hAnsi="宋体"/>
          <w:sz w:val="24"/>
          <w:szCs w:val="24"/>
        </w:rPr>
      </w:pPr>
      <w:r>
        <w:rPr>
          <w:rFonts w:ascii="宋体" w:hAnsi="宋体"/>
          <w:sz w:val="24"/>
          <w:szCs w:val="24"/>
        </w:rPr>
        <w:t>本协议一式</w:t>
      </w:r>
      <w:r>
        <w:rPr>
          <w:rFonts w:ascii="宋体" w:hAnsi="宋体"/>
          <w:b/>
          <w:bCs/>
          <w:sz w:val="24"/>
          <w:szCs w:val="24"/>
        </w:rPr>
        <w:t>4份</w:t>
      </w:r>
      <w:r>
        <w:rPr>
          <w:rFonts w:ascii="宋体" w:hAnsi="宋体"/>
          <w:sz w:val="24"/>
          <w:szCs w:val="24"/>
        </w:rPr>
        <w:t>，甲方执</w:t>
      </w:r>
      <w:r>
        <w:rPr>
          <w:rFonts w:ascii="宋体" w:hAnsi="宋体"/>
          <w:b/>
          <w:bCs/>
          <w:sz w:val="24"/>
          <w:szCs w:val="24"/>
        </w:rPr>
        <w:t>2份</w:t>
      </w:r>
      <w:r>
        <w:rPr>
          <w:rFonts w:ascii="宋体" w:hAnsi="宋体"/>
          <w:sz w:val="24"/>
          <w:szCs w:val="24"/>
        </w:rPr>
        <w:t>，乙方执</w:t>
      </w:r>
      <w:r>
        <w:rPr>
          <w:rFonts w:ascii="宋体" w:hAnsi="宋体"/>
          <w:b/>
          <w:bCs/>
          <w:sz w:val="24"/>
          <w:szCs w:val="24"/>
        </w:rPr>
        <w:t>2份</w:t>
      </w:r>
      <w:r>
        <w:rPr>
          <w:rFonts w:ascii="宋体" w:hAnsi="宋体"/>
          <w:sz w:val="24"/>
          <w:szCs w:val="24"/>
        </w:rPr>
        <w:t>，自双方盖章之日起生效，各份具有同等法律效力。</w:t>
      </w:r>
    </w:p>
    <w:p w14:paraId="5F88CFCC">
      <w:pPr>
        <w:spacing w:before="156" w:beforeLines="50" w:after="156" w:afterLines="50" w:line="360" w:lineRule="auto"/>
        <w:rPr>
          <w:rFonts w:hint="eastAsia" w:ascii="宋体" w:hAnsi="宋体"/>
          <w:b/>
          <w:bCs/>
          <w:sz w:val="24"/>
          <w:szCs w:val="24"/>
        </w:rPr>
      </w:pPr>
      <w:r>
        <w:rPr>
          <w:rFonts w:ascii="宋体" w:hAnsi="宋体"/>
          <w:b/>
          <w:bCs/>
          <w:sz w:val="24"/>
          <w:szCs w:val="24"/>
        </w:rPr>
        <w:t>8.2补充协议</w:t>
      </w:r>
    </w:p>
    <w:p w14:paraId="2B0A8078">
      <w:pPr>
        <w:spacing w:line="360" w:lineRule="auto"/>
        <w:ind w:firstLine="480" w:firstLineChars="200"/>
        <w:rPr>
          <w:rFonts w:hint="eastAsia" w:ascii="微软雅黑" w:hAnsi="微软雅黑" w:eastAsia="微软雅黑"/>
          <w:sz w:val="20"/>
          <w:szCs w:val="20"/>
        </w:rPr>
      </w:pPr>
      <w:r>
        <w:rPr>
          <w:rFonts w:ascii="宋体" w:hAnsi="宋体"/>
          <w:sz w:val="24"/>
          <w:szCs w:val="24"/>
        </w:rPr>
        <w:t>本协议未尽事宜，双方需遵循 “协商一致” 原则签订补充协议，补充协议与本协议具有同等法律效力；若补充协议与本协议条款冲突，以补充协议为准。</w:t>
      </w:r>
    </w:p>
    <w:p w14:paraId="4E3EAE26">
      <w:pPr>
        <w:spacing w:before="156" w:beforeLines="50" w:after="156" w:afterLines="50" w:line="360" w:lineRule="auto"/>
        <w:rPr>
          <w:rFonts w:hint="eastAsia" w:ascii="宋体" w:hAnsi="宋体"/>
          <w:b/>
          <w:bCs/>
          <w:sz w:val="24"/>
          <w:szCs w:val="24"/>
        </w:rPr>
      </w:pPr>
      <w:r>
        <w:rPr>
          <w:rFonts w:ascii="宋体" w:hAnsi="宋体"/>
          <w:b/>
          <w:bCs/>
          <w:sz w:val="24"/>
          <w:szCs w:val="24"/>
        </w:rPr>
        <w:t>8.3争议解决</w:t>
      </w:r>
    </w:p>
    <w:p w14:paraId="6683EF77">
      <w:pPr>
        <w:spacing w:line="360" w:lineRule="auto"/>
        <w:ind w:firstLine="480" w:firstLineChars="200"/>
        <w:rPr>
          <w:rFonts w:hint="eastAsia" w:ascii="宋体" w:hAnsi="宋体"/>
          <w:sz w:val="24"/>
          <w:szCs w:val="24"/>
        </w:rPr>
      </w:pPr>
      <w:r>
        <w:rPr>
          <w:rFonts w:ascii="宋体" w:hAnsi="宋体"/>
          <w:sz w:val="24"/>
          <w:szCs w:val="24"/>
        </w:rPr>
        <w:t>因本协议产生的争议，双方应首先通过友好协商解决；协商不成的，任何一方均有权</w:t>
      </w:r>
      <w:r>
        <w:rPr>
          <w:rFonts w:ascii="宋体" w:hAnsi="宋体"/>
          <w:b/>
          <w:bCs/>
          <w:sz w:val="24"/>
          <w:szCs w:val="24"/>
        </w:rPr>
        <w:t>向甲方所在地有管辖权的人民法院</w:t>
      </w:r>
      <w:r>
        <w:rPr>
          <w:rFonts w:ascii="宋体" w:hAnsi="宋体"/>
          <w:sz w:val="24"/>
          <w:szCs w:val="24"/>
        </w:rPr>
        <w:t>提起诉讼。</w:t>
      </w:r>
    </w:p>
    <w:p w14:paraId="7C9A0755">
      <w:pPr>
        <w:spacing w:before="156" w:beforeLines="50" w:after="156" w:afterLines="50" w:line="360" w:lineRule="auto"/>
        <w:rPr>
          <w:rFonts w:hint="eastAsia" w:ascii="宋体" w:hAnsi="宋体"/>
          <w:b/>
          <w:bCs/>
          <w:sz w:val="24"/>
          <w:szCs w:val="24"/>
        </w:rPr>
      </w:pPr>
      <w:r>
        <w:rPr>
          <w:rFonts w:ascii="宋体" w:hAnsi="宋体"/>
          <w:b/>
          <w:bCs/>
          <w:sz w:val="24"/>
          <w:szCs w:val="24"/>
        </w:rPr>
        <w:t>8.4附件效力</w:t>
      </w:r>
    </w:p>
    <w:p w14:paraId="3FCD9F83">
      <w:pPr>
        <w:spacing w:line="360" w:lineRule="auto"/>
        <w:ind w:firstLine="480" w:firstLineChars="200"/>
        <w:rPr>
          <w:rFonts w:hint="eastAsia" w:ascii="微软雅黑" w:hAnsi="微软雅黑" w:eastAsia="微软雅黑"/>
          <w:sz w:val="20"/>
          <w:szCs w:val="20"/>
        </w:rPr>
      </w:pPr>
      <w:r>
        <w:rPr>
          <w:rFonts w:ascii="宋体" w:hAnsi="宋体"/>
          <w:sz w:val="24"/>
          <w:szCs w:val="24"/>
        </w:rPr>
        <w:t>本协议附件（包括《年度任务量确认表》《202</w:t>
      </w:r>
      <w:r>
        <w:rPr>
          <w:rFonts w:hint="eastAsia" w:ascii="宋体" w:hAnsi="宋体"/>
          <w:sz w:val="24"/>
          <w:szCs w:val="24"/>
          <w:lang w:val="en-US" w:eastAsia="zh-CN"/>
        </w:rPr>
        <w:t>6</w:t>
      </w:r>
      <w:r>
        <w:rPr>
          <w:rFonts w:ascii="宋体" w:hAnsi="宋体"/>
          <w:sz w:val="24"/>
          <w:szCs w:val="24"/>
        </w:rPr>
        <w:t xml:space="preserve"> 年年度服务协议》）为本协议不可分割的组成部分，与本协议具有同等法律效力。</w:t>
      </w:r>
      <w:bookmarkEnd w:id="0"/>
    </w:p>
    <w:p w14:paraId="3622940F">
      <w:pPr>
        <w:spacing w:line="360" w:lineRule="auto"/>
        <w:rPr>
          <w:rFonts w:hint="eastAsia" w:ascii="微软雅黑" w:hAnsi="微软雅黑" w:eastAsia="微软雅黑"/>
          <w:sz w:val="20"/>
          <w:szCs w:val="20"/>
        </w:rPr>
      </w:pPr>
    </w:p>
    <w:tbl>
      <w:tblPr>
        <w:tblStyle w:val="7"/>
        <w:tblW w:w="8616" w:type="dxa"/>
        <w:tblInd w:w="0" w:type="dxa"/>
        <w:tblLayout w:type="fixed"/>
        <w:tblCellMar>
          <w:top w:w="0" w:type="dxa"/>
          <w:left w:w="108" w:type="dxa"/>
          <w:bottom w:w="0" w:type="dxa"/>
          <w:right w:w="108" w:type="dxa"/>
        </w:tblCellMar>
      </w:tblPr>
      <w:tblGrid>
        <w:gridCol w:w="4134"/>
        <w:gridCol w:w="4482"/>
      </w:tblGrid>
      <w:tr w14:paraId="67665C17">
        <w:tblPrEx>
          <w:tblCellMar>
            <w:top w:w="0" w:type="dxa"/>
            <w:left w:w="108" w:type="dxa"/>
            <w:bottom w:w="0" w:type="dxa"/>
            <w:right w:w="108" w:type="dxa"/>
          </w:tblCellMar>
        </w:tblPrEx>
        <w:trPr>
          <w:trHeight w:val="510" w:hRule="atLeast"/>
        </w:trPr>
        <w:tc>
          <w:tcPr>
            <w:tcW w:w="4134" w:type="dxa"/>
          </w:tcPr>
          <w:p w14:paraId="20286140">
            <w:pPr>
              <w:spacing w:line="360" w:lineRule="auto"/>
              <w:ind w:right="-189" w:rightChars="-90"/>
              <w:rPr>
                <w:rFonts w:hint="eastAsia" w:ascii="宋体" w:hAnsi="宋体"/>
                <w:sz w:val="24"/>
                <w:szCs w:val="24"/>
                <w:u w:val="single"/>
              </w:rPr>
            </w:pPr>
            <w:bookmarkStart w:id="1" w:name="_Hlk211081872"/>
            <w:r>
              <w:rPr>
                <w:rFonts w:hint="eastAsia" w:ascii="宋体" w:hAnsi="宋体"/>
                <w:sz w:val="24"/>
                <w:szCs w:val="24"/>
                <w:u w:val="single"/>
              </w:rPr>
              <w:t>甲方：重庆海斯曼药业有限责任公司</w:t>
            </w:r>
          </w:p>
          <w:p w14:paraId="55B06F94">
            <w:pPr>
              <w:spacing w:line="360" w:lineRule="auto"/>
              <w:ind w:right="-189" w:rightChars="-90"/>
              <w:rPr>
                <w:rFonts w:hint="eastAsia" w:ascii="宋体" w:hAnsi="宋体"/>
                <w:sz w:val="24"/>
                <w:szCs w:val="24"/>
              </w:rPr>
            </w:pPr>
            <w:r>
              <w:rPr>
                <w:rFonts w:hint="eastAsia" w:ascii="宋体" w:hAnsi="宋体"/>
                <w:sz w:val="24"/>
                <w:szCs w:val="24"/>
              </w:rPr>
              <w:t>签约代表：</w:t>
            </w:r>
          </w:p>
          <w:p w14:paraId="7AF5849D">
            <w:pPr>
              <w:spacing w:line="360" w:lineRule="auto"/>
              <w:ind w:right="-189" w:rightChars="-90"/>
              <w:rPr>
                <w:rFonts w:hint="eastAsia" w:ascii="宋体" w:hAnsi="宋体"/>
                <w:sz w:val="24"/>
                <w:szCs w:val="24"/>
              </w:rPr>
            </w:pPr>
          </w:p>
          <w:p w14:paraId="2636D234">
            <w:pPr>
              <w:spacing w:line="360" w:lineRule="auto"/>
              <w:ind w:right="-189" w:rightChars="-90"/>
              <w:rPr>
                <w:rFonts w:hint="eastAsia" w:ascii="宋体" w:hAnsi="宋体"/>
                <w:sz w:val="24"/>
                <w:szCs w:val="24"/>
              </w:rPr>
            </w:pPr>
          </w:p>
          <w:p w14:paraId="3EBF9959">
            <w:pPr>
              <w:spacing w:line="360" w:lineRule="auto"/>
              <w:ind w:right="-189" w:rightChars="-90"/>
              <w:rPr>
                <w:rFonts w:hint="eastAsia" w:ascii="宋体" w:hAnsi="宋体"/>
                <w:sz w:val="24"/>
                <w:szCs w:val="24"/>
              </w:rPr>
            </w:pPr>
            <w:r>
              <w:rPr>
                <w:rFonts w:hint="eastAsia" w:ascii="宋体" w:hAnsi="宋体"/>
                <w:sz w:val="24"/>
                <w:szCs w:val="24"/>
              </w:rPr>
              <w:t>盖章：</w:t>
            </w:r>
          </w:p>
          <w:p w14:paraId="717FE4A7">
            <w:pPr>
              <w:spacing w:line="360" w:lineRule="auto"/>
              <w:ind w:right="-189" w:rightChars="-90"/>
              <w:rPr>
                <w:rFonts w:hint="eastAsia" w:ascii="宋体" w:hAnsi="宋体"/>
                <w:sz w:val="24"/>
                <w:szCs w:val="24"/>
              </w:rPr>
            </w:pPr>
          </w:p>
          <w:p w14:paraId="56BC66D0">
            <w:pPr>
              <w:spacing w:line="360" w:lineRule="auto"/>
              <w:ind w:right="-189" w:rightChars="-90"/>
              <w:rPr>
                <w:rFonts w:hint="eastAsia" w:ascii="宋体" w:hAnsi="宋体"/>
                <w:sz w:val="24"/>
                <w:szCs w:val="24"/>
              </w:rPr>
            </w:pPr>
          </w:p>
        </w:tc>
        <w:tc>
          <w:tcPr>
            <w:tcW w:w="4482" w:type="dxa"/>
          </w:tcPr>
          <w:p w14:paraId="283A4B39">
            <w:pPr>
              <w:spacing w:line="360" w:lineRule="auto"/>
              <w:ind w:right="-189" w:rightChars="-90"/>
              <w:rPr>
                <w:rFonts w:hint="eastAsia" w:ascii="宋体" w:hAnsi="宋体"/>
                <w:sz w:val="24"/>
                <w:szCs w:val="24"/>
              </w:rPr>
            </w:pPr>
            <w:r>
              <w:rPr>
                <w:rFonts w:hint="eastAsia" w:ascii="宋体" w:hAnsi="宋体"/>
                <w:sz w:val="24"/>
                <w:szCs w:val="24"/>
                <w:u w:val="single"/>
              </w:rPr>
              <w:t>乙方：xxx医药连锁集团股份有限公司</w:t>
            </w:r>
          </w:p>
          <w:p w14:paraId="22FFDC0B">
            <w:pPr>
              <w:spacing w:line="360" w:lineRule="auto"/>
              <w:ind w:right="-189" w:rightChars="-90"/>
              <w:rPr>
                <w:rFonts w:hint="eastAsia" w:ascii="宋体" w:hAnsi="宋体"/>
                <w:sz w:val="24"/>
                <w:szCs w:val="24"/>
              </w:rPr>
            </w:pPr>
            <w:r>
              <w:rPr>
                <w:rFonts w:hint="eastAsia" w:ascii="宋体" w:hAnsi="宋体"/>
                <w:sz w:val="24"/>
                <w:szCs w:val="24"/>
              </w:rPr>
              <w:t>签约代表：</w:t>
            </w:r>
          </w:p>
          <w:p w14:paraId="54DA94AD">
            <w:pPr>
              <w:spacing w:line="360" w:lineRule="auto"/>
              <w:ind w:right="-189" w:rightChars="-90"/>
              <w:rPr>
                <w:rFonts w:hint="eastAsia" w:ascii="宋体" w:hAnsi="宋体"/>
                <w:sz w:val="24"/>
                <w:szCs w:val="24"/>
              </w:rPr>
            </w:pPr>
          </w:p>
          <w:p w14:paraId="49FD45CF">
            <w:pPr>
              <w:spacing w:line="360" w:lineRule="auto"/>
              <w:ind w:right="-189" w:rightChars="-90"/>
              <w:rPr>
                <w:rFonts w:hint="eastAsia" w:ascii="宋体" w:hAnsi="宋体"/>
                <w:sz w:val="24"/>
                <w:szCs w:val="24"/>
              </w:rPr>
            </w:pPr>
          </w:p>
          <w:p w14:paraId="558FB0F4">
            <w:pPr>
              <w:spacing w:line="360" w:lineRule="auto"/>
              <w:ind w:right="-189" w:rightChars="-90"/>
              <w:rPr>
                <w:rFonts w:hint="eastAsia" w:ascii="宋体" w:hAnsi="宋体"/>
                <w:sz w:val="24"/>
                <w:szCs w:val="24"/>
              </w:rPr>
            </w:pPr>
            <w:r>
              <w:rPr>
                <w:rFonts w:hint="eastAsia" w:ascii="宋体" w:hAnsi="宋体"/>
                <w:sz w:val="24"/>
                <w:szCs w:val="24"/>
              </w:rPr>
              <w:t>盖章：</w:t>
            </w:r>
          </w:p>
          <w:p w14:paraId="1EEECDCE">
            <w:pPr>
              <w:spacing w:line="360" w:lineRule="auto"/>
              <w:ind w:right="-189" w:rightChars="-90"/>
              <w:rPr>
                <w:rFonts w:hint="eastAsia" w:ascii="宋体" w:hAnsi="宋体"/>
                <w:sz w:val="24"/>
                <w:szCs w:val="24"/>
              </w:rPr>
            </w:pPr>
          </w:p>
        </w:tc>
      </w:tr>
      <w:tr w14:paraId="6681F0C9">
        <w:tblPrEx>
          <w:tblCellMar>
            <w:top w:w="0" w:type="dxa"/>
            <w:left w:w="108" w:type="dxa"/>
            <w:bottom w:w="0" w:type="dxa"/>
            <w:right w:w="108" w:type="dxa"/>
          </w:tblCellMar>
        </w:tblPrEx>
        <w:trPr>
          <w:trHeight w:val="510" w:hRule="atLeast"/>
        </w:trPr>
        <w:tc>
          <w:tcPr>
            <w:tcW w:w="4134" w:type="dxa"/>
          </w:tcPr>
          <w:p w14:paraId="4C118AEE">
            <w:pPr>
              <w:spacing w:line="360" w:lineRule="auto"/>
              <w:ind w:right="-189" w:rightChars="-90"/>
              <w:rPr>
                <w:rFonts w:hint="eastAsia" w:ascii="宋体" w:hAnsi="宋体"/>
                <w:sz w:val="24"/>
                <w:szCs w:val="24"/>
              </w:rPr>
            </w:pPr>
            <w:r>
              <w:rPr>
                <w:rFonts w:hint="eastAsia" w:ascii="宋体" w:hAnsi="宋体"/>
                <w:sz w:val="24"/>
                <w:szCs w:val="24"/>
              </w:rPr>
              <w:t>签约日期：</w:t>
            </w:r>
          </w:p>
        </w:tc>
        <w:tc>
          <w:tcPr>
            <w:tcW w:w="4482" w:type="dxa"/>
          </w:tcPr>
          <w:p w14:paraId="6227B965">
            <w:pPr>
              <w:spacing w:line="360" w:lineRule="auto"/>
              <w:ind w:right="-189" w:rightChars="-90"/>
              <w:rPr>
                <w:rFonts w:hint="eastAsia" w:ascii="宋体" w:hAnsi="宋体"/>
                <w:sz w:val="24"/>
                <w:szCs w:val="24"/>
              </w:rPr>
            </w:pPr>
            <w:r>
              <w:rPr>
                <w:rFonts w:hint="eastAsia" w:ascii="宋体" w:hAnsi="宋体"/>
                <w:sz w:val="24"/>
                <w:szCs w:val="24"/>
              </w:rPr>
              <w:t>签约日期：</w:t>
            </w:r>
          </w:p>
        </w:tc>
      </w:tr>
      <w:bookmarkEnd w:id="1"/>
    </w:tbl>
    <w:p w14:paraId="33C7170F">
      <w:pPr>
        <w:spacing w:line="360" w:lineRule="auto"/>
        <w:rPr>
          <w:rFonts w:hint="eastAsia" w:ascii="微软雅黑" w:hAnsi="微软雅黑" w:eastAsia="微软雅黑"/>
          <w:sz w:val="20"/>
          <w:szCs w:val="20"/>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6A9DC6F3">
      <w:pPr>
        <w:spacing w:line="360" w:lineRule="auto"/>
        <w:jc w:val="center"/>
        <w:rPr>
          <w:rFonts w:hint="eastAsia" w:ascii="微软雅黑" w:hAnsi="微软雅黑" w:eastAsia="微软雅黑" w:cs="黑体"/>
          <w:b/>
          <w:bCs/>
          <w:szCs w:val="21"/>
        </w:rPr>
      </w:pPr>
      <w:r>
        <w:rPr>
          <w:rFonts w:hint="eastAsia" w:ascii="黑体" w:hAnsi="黑体" w:eastAsia="黑体" w:cs="黑体"/>
          <w:b/>
          <w:bCs/>
          <w:szCs w:val="21"/>
        </w:rPr>
        <w:t>x</w:t>
      </w:r>
      <w:r>
        <w:rPr>
          <w:rFonts w:hint="eastAsia" w:ascii="微软雅黑" w:hAnsi="微软雅黑" w:eastAsia="微软雅黑" w:cs="黑体"/>
          <w:b/>
          <w:bCs/>
          <w:szCs w:val="21"/>
        </w:rPr>
        <w:t>xxxx连锁集团股份有限公司与重庆海斯曼药业有限责任公司2026年销量目标分解表</w:t>
      </w:r>
    </w:p>
    <w:p w14:paraId="2BC21E35">
      <w:pPr>
        <w:spacing w:line="360" w:lineRule="auto"/>
        <w:rPr>
          <w:rFonts w:hint="eastAsia" w:ascii="微软雅黑" w:hAnsi="微软雅黑" w:eastAsia="微软雅黑" w:cs="黑体"/>
          <w:szCs w:val="21"/>
        </w:rPr>
      </w:pPr>
    </w:p>
    <w:p w14:paraId="0E1DB9E1">
      <w:pPr>
        <w:spacing w:line="360" w:lineRule="auto"/>
        <w:ind w:firstLine="360" w:firstLineChars="200"/>
        <w:rPr>
          <w:rFonts w:hint="eastAsia" w:ascii="微软雅黑" w:hAnsi="微软雅黑" w:eastAsia="微软雅黑" w:cs="宋体"/>
          <w:sz w:val="18"/>
          <w:szCs w:val="18"/>
        </w:rPr>
      </w:pPr>
      <w:r>
        <w:rPr>
          <w:rFonts w:hint="eastAsia" w:ascii="微软雅黑" w:hAnsi="微软雅黑" w:eastAsia="微软雅黑" w:cs="宋体"/>
          <w:sz w:val="18"/>
          <w:szCs w:val="18"/>
        </w:rPr>
        <w:t>经xxxxx连锁集团股份有限公司与重庆海斯曼药业有限责任公司双方友好协商，根据2025年市场预测对可乐必妥片产品销售目标进行分解，销量目标分解表如下：</w:t>
      </w:r>
    </w:p>
    <w:tbl>
      <w:tblPr>
        <w:tblStyle w:val="7"/>
        <w:tblpPr w:leftFromText="180" w:rightFromText="180" w:vertAnchor="text" w:horzAnchor="page" w:tblpX="1656" w:tblpY="124"/>
        <w:tblOverlap w:val="never"/>
        <w:tblW w:w="5000" w:type="pct"/>
        <w:tblInd w:w="0" w:type="dxa"/>
        <w:tblLayout w:type="fixed"/>
        <w:tblCellMar>
          <w:top w:w="0" w:type="dxa"/>
          <w:left w:w="108" w:type="dxa"/>
          <w:bottom w:w="0" w:type="dxa"/>
          <w:right w:w="108" w:type="dxa"/>
        </w:tblCellMar>
      </w:tblPr>
      <w:tblGrid>
        <w:gridCol w:w="1511"/>
        <w:gridCol w:w="1199"/>
        <w:gridCol w:w="1188"/>
        <w:gridCol w:w="607"/>
        <w:gridCol w:w="794"/>
        <w:gridCol w:w="173"/>
        <w:gridCol w:w="621"/>
        <w:gridCol w:w="133"/>
        <w:gridCol w:w="661"/>
        <w:gridCol w:w="139"/>
        <w:gridCol w:w="654"/>
        <w:gridCol w:w="102"/>
        <w:gridCol w:w="692"/>
        <w:gridCol w:w="65"/>
        <w:gridCol w:w="729"/>
        <w:gridCol w:w="76"/>
        <w:gridCol w:w="717"/>
        <w:gridCol w:w="40"/>
        <w:gridCol w:w="754"/>
        <w:gridCol w:w="800"/>
        <w:gridCol w:w="947"/>
        <w:gridCol w:w="791"/>
        <w:gridCol w:w="782"/>
      </w:tblGrid>
      <w:tr w14:paraId="1641DC30">
        <w:tblPrEx>
          <w:tblCellMar>
            <w:top w:w="0" w:type="dxa"/>
            <w:left w:w="108" w:type="dxa"/>
            <w:bottom w:w="0" w:type="dxa"/>
            <w:right w:w="108" w:type="dxa"/>
          </w:tblCellMar>
        </w:tblPrEx>
        <w:trPr>
          <w:trHeight w:val="333" w:hRule="atLeast"/>
        </w:trPr>
        <w:tc>
          <w:tcPr>
            <w:tcW w:w="532" w:type="pct"/>
            <w:vMerge w:val="restart"/>
            <w:tcBorders>
              <w:top w:val="single" w:color="auto" w:sz="4" w:space="0"/>
              <w:left w:val="single" w:color="auto" w:sz="4" w:space="0"/>
              <w:bottom w:val="single" w:color="auto" w:sz="4" w:space="0"/>
              <w:right w:val="single" w:color="auto" w:sz="4" w:space="0"/>
            </w:tcBorders>
            <w:shd w:val="clear" w:color="auto" w:fill="2E75B6"/>
            <w:vAlign w:val="center"/>
          </w:tcPr>
          <w:p w14:paraId="60644579">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商品名</w:t>
            </w:r>
          </w:p>
        </w:tc>
        <w:tc>
          <w:tcPr>
            <w:tcW w:w="422" w:type="pct"/>
            <w:vMerge w:val="restart"/>
            <w:tcBorders>
              <w:top w:val="single" w:color="auto" w:sz="4" w:space="0"/>
              <w:left w:val="single" w:color="auto" w:sz="4" w:space="0"/>
              <w:bottom w:val="single" w:color="auto" w:sz="4" w:space="0"/>
              <w:right w:val="single" w:color="auto" w:sz="4" w:space="0"/>
            </w:tcBorders>
            <w:shd w:val="clear" w:color="auto" w:fill="2E75B6"/>
            <w:vAlign w:val="center"/>
          </w:tcPr>
          <w:p w14:paraId="38F2B0A6">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通用名</w:t>
            </w:r>
          </w:p>
        </w:tc>
        <w:tc>
          <w:tcPr>
            <w:tcW w:w="419" w:type="pct"/>
            <w:vMerge w:val="restart"/>
            <w:tcBorders>
              <w:top w:val="single" w:color="auto" w:sz="4" w:space="0"/>
              <w:left w:val="single" w:color="auto" w:sz="4" w:space="0"/>
              <w:bottom w:val="single" w:color="auto" w:sz="4" w:space="0"/>
              <w:right w:val="single" w:color="auto" w:sz="4" w:space="0"/>
            </w:tcBorders>
            <w:shd w:val="clear" w:color="auto" w:fill="2E75B6"/>
            <w:vAlign w:val="center"/>
          </w:tcPr>
          <w:p w14:paraId="2FE8E985">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包装规格</w:t>
            </w:r>
          </w:p>
        </w:tc>
        <w:tc>
          <w:tcPr>
            <w:tcW w:w="214" w:type="pct"/>
            <w:vMerge w:val="restart"/>
            <w:tcBorders>
              <w:top w:val="single" w:color="auto" w:sz="4" w:space="0"/>
              <w:left w:val="single" w:color="auto" w:sz="4" w:space="0"/>
              <w:bottom w:val="single" w:color="auto" w:sz="4" w:space="0"/>
              <w:right w:val="single" w:color="auto" w:sz="4" w:space="0"/>
            </w:tcBorders>
            <w:shd w:val="clear" w:color="auto" w:fill="2E75B6"/>
            <w:vAlign w:val="center"/>
          </w:tcPr>
          <w:p w14:paraId="739AA732">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单位</w:t>
            </w:r>
          </w:p>
        </w:tc>
        <w:tc>
          <w:tcPr>
            <w:tcW w:w="3410" w:type="pct"/>
            <w:gridSpan w:val="19"/>
            <w:tcBorders>
              <w:top w:val="single" w:color="auto" w:sz="4" w:space="0"/>
              <w:left w:val="single" w:color="auto" w:sz="4" w:space="0"/>
              <w:bottom w:val="single" w:color="auto" w:sz="4" w:space="0"/>
              <w:right w:val="single" w:color="auto" w:sz="4" w:space="0"/>
            </w:tcBorders>
            <w:shd w:val="clear" w:color="auto" w:fill="2E75B6"/>
            <w:vAlign w:val="center"/>
          </w:tcPr>
          <w:p w14:paraId="2C1EF3C6">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销量目标（盒）</w:t>
            </w:r>
          </w:p>
        </w:tc>
      </w:tr>
      <w:tr w14:paraId="0FDB7A57">
        <w:tblPrEx>
          <w:tblCellMar>
            <w:top w:w="0" w:type="dxa"/>
            <w:left w:w="108" w:type="dxa"/>
            <w:bottom w:w="0" w:type="dxa"/>
            <w:right w:w="108" w:type="dxa"/>
          </w:tblCellMar>
        </w:tblPrEx>
        <w:trPr>
          <w:trHeight w:val="318" w:hRule="atLeast"/>
        </w:trPr>
        <w:tc>
          <w:tcPr>
            <w:tcW w:w="532"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223D137C">
            <w:pPr>
              <w:spacing w:line="360" w:lineRule="auto"/>
              <w:rPr>
                <w:rFonts w:hint="eastAsia" w:ascii="微软雅黑" w:hAnsi="微软雅黑" w:eastAsia="微软雅黑" w:cs="宋体"/>
                <w:b/>
                <w:bCs/>
                <w:color w:val="FFFFFF"/>
                <w:sz w:val="20"/>
                <w:szCs w:val="20"/>
              </w:rPr>
            </w:pPr>
          </w:p>
        </w:tc>
        <w:tc>
          <w:tcPr>
            <w:tcW w:w="422"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7CDACCC8">
            <w:pPr>
              <w:spacing w:line="360" w:lineRule="auto"/>
              <w:rPr>
                <w:rFonts w:hint="eastAsia" w:ascii="微软雅黑" w:hAnsi="微软雅黑" w:eastAsia="微软雅黑" w:cs="宋体"/>
                <w:b/>
                <w:bCs/>
                <w:color w:val="FFFFFF"/>
                <w:sz w:val="20"/>
                <w:szCs w:val="20"/>
              </w:rPr>
            </w:pPr>
          </w:p>
        </w:tc>
        <w:tc>
          <w:tcPr>
            <w:tcW w:w="419"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0E401587">
            <w:pPr>
              <w:spacing w:line="360" w:lineRule="auto"/>
              <w:rPr>
                <w:rFonts w:hint="eastAsia" w:ascii="微软雅黑" w:hAnsi="微软雅黑" w:eastAsia="微软雅黑" w:cs="宋体"/>
                <w:b/>
                <w:bCs/>
                <w:color w:val="FFFFFF"/>
                <w:sz w:val="20"/>
                <w:szCs w:val="20"/>
              </w:rPr>
            </w:pPr>
          </w:p>
        </w:tc>
        <w:tc>
          <w:tcPr>
            <w:tcW w:w="214"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17AEE630">
            <w:pPr>
              <w:spacing w:line="360" w:lineRule="auto"/>
              <w:rPr>
                <w:rFonts w:hint="eastAsia" w:ascii="微软雅黑" w:hAnsi="微软雅黑" w:eastAsia="微软雅黑" w:cs="宋体"/>
                <w:b/>
                <w:bCs/>
                <w:color w:val="FFFFFF"/>
                <w:sz w:val="20"/>
                <w:szCs w:val="20"/>
              </w:rPr>
            </w:pPr>
          </w:p>
        </w:tc>
        <w:tc>
          <w:tcPr>
            <w:tcW w:w="889" w:type="pct"/>
            <w:gridSpan w:val="6"/>
            <w:tcBorders>
              <w:top w:val="single" w:color="auto" w:sz="4" w:space="0"/>
              <w:left w:val="single" w:color="auto" w:sz="4" w:space="0"/>
              <w:bottom w:val="single" w:color="auto" w:sz="4" w:space="0"/>
              <w:right w:val="single" w:color="auto" w:sz="4" w:space="0"/>
            </w:tcBorders>
            <w:shd w:val="clear" w:color="auto" w:fill="2E75B6"/>
            <w:vAlign w:val="center"/>
          </w:tcPr>
          <w:p w14:paraId="5D462C07">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2</w:t>
            </w:r>
            <w:r>
              <w:rPr>
                <w:rFonts w:ascii="微软雅黑" w:hAnsi="微软雅黑" w:eastAsia="微软雅黑" w:cs="宋体"/>
                <w:b/>
                <w:bCs/>
                <w:color w:val="FFFFFF"/>
                <w:kern w:val="0"/>
                <w:sz w:val="20"/>
                <w:szCs w:val="20"/>
                <w:lang w:bidi="ar"/>
              </w:rPr>
              <w:t>02</w:t>
            </w:r>
            <w:r>
              <w:rPr>
                <w:rFonts w:hint="eastAsia" w:ascii="微软雅黑" w:hAnsi="微软雅黑" w:eastAsia="微软雅黑" w:cs="宋体"/>
                <w:b/>
                <w:bCs/>
                <w:color w:val="FFFFFF"/>
                <w:kern w:val="0"/>
                <w:sz w:val="20"/>
                <w:szCs w:val="20"/>
                <w:lang w:val="en-US" w:eastAsia="zh-CN" w:bidi="ar"/>
              </w:rPr>
              <w:t>6</w:t>
            </w:r>
            <w:r>
              <w:rPr>
                <w:rFonts w:hint="eastAsia" w:ascii="微软雅黑" w:hAnsi="微软雅黑" w:eastAsia="微软雅黑" w:cs="宋体"/>
                <w:b/>
                <w:bCs/>
                <w:color w:val="FFFFFF"/>
                <w:kern w:val="0"/>
                <w:sz w:val="20"/>
                <w:szCs w:val="20"/>
                <w:lang w:bidi="ar"/>
              </w:rPr>
              <w:t>年第</w:t>
            </w:r>
            <w:r>
              <w:rPr>
                <w:rFonts w:hint="eastAsia" w:ascii="微软雅黑" w:hAnsi="微软雅黑" w:eastAsia="微软雅黑" w:cs="宋体"/>
                <w:b/>
                <w:bCs/>
                <w:color w:val="FFFFFF"/>
                <w:kern w:val="0"/>
                <w:sz w:val="20"/>
                <w:szCs w:val="20"/>
                <w:lang w:val="en-US" w:eastAsia="zh-CN" w:bidi="ar"/>
              </w:rPr>
              <w:t>一</w:t>
            </w:r>
            <w:r>
              <w:rPr>
                <w:rFonts w:hint="eastAsia" w:ascii="微软雅黑" w:hAnsi="微软雅黑" w:eastAsia="微软雅黑" w:cs="宋体"/>
                <w:b/>
                <w:bCs/>
                <w:color w:val="FFFFFF"/>
                <w:kern w:val="0"/>
                <w:sz w:val="20"/>
                <w:szCs w:val="20"/>
                <w:lang w:bidi="ar"/>
              </w:rPr>
              <w:t>季度</w:t>
            </w:r>
          </w:p>
        </w:tc>
        <w:tc>
          <w:tcPr>
            <w:tcW w:w="817" w:type="pct"/>
            <w:gridSpan w:val="6"/>
            <w:tcBorders>
              <w:top w:val="single" w:color="auto" w:sz="4" w:space="0"/>
              <w:left w:val="single" w:color="auto" w:sz="4" w:space="0"/>
              <w:bottom w:val="single" w:color="auto" w:sz="4" w:space="0"/>
              <w:right w:val="single" w:color="auto" w:sz="4" w:space="0"/>
            </w:tcBorders>
            <w:shd w:val="clear" w:color="auto" w:fill="2E75B6"/>
            <w:vAlign w:val="center"/>
          </w:tcPr>
          <w:p w14:paraId="7794BC9C">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2</w:t>
            </w:r>
            <w:r>
              <w:rPr>
                <w:rFonts w:ascii="微软雅黑" w:hAnsi="微软雅黑" w:eastAsia="微软雅黑" w:cs="宋体"/>
                <w:b/>
                <w:bCs/>
                <w:color w:val="FFFFFF"/>
                <w:kern w:val="0"/>
                <w:sz w:val="20"/>
                <w:szCs w:val="20"/>
                <w:lang w:bidi="ar"/>
              </w:rPr>
              <w:t>02</w:t>
            </w:r>
            <w:r>
              <w:rPr>
                <w:rFonts w:hint="eastAsia" w:ascii="微软雅黑" w:hAnsi="微软雅黑" w:eastAsia="微软雅黑" w:cs="宋体"/>
                <w:b/>
                <w:bCs/>
                <w:color w:val="FFFFFF"/>
                <w:kern w:val="0"/>
                <w:sz w:val="20"/>
                <w:szCs w:val="20"/>
                <w:lang w:val="en-US" w:eastAsia="zh-CN" w:bidi="ar"/>
              </w:rPr>
              <w:t>6</w:t>
            </w:r>
            <w:r>
              <w:rPr>
                <w:rFonts w:hint="eastAsia" w:ascii="微软雅黑" w:hAnsi="微软雅黑" w:eastAsia="微软雅黑" w:cs="宋体"/>
                <w:b/>
                <w:bCs/>
                <w:color w:val="FFFFFF"/>
                <w:kern w:val="0"/>
                <w:sz w:val="20"/>
                <w:szCs w:val="20"/>
                <w:lang w:bidi="ar"/>
              </w:rPr>
              <w:t>年第</w:t>
            </w:r>
            <w:r>
              <w:rPr>
                <w:rFonts w:hint="eastAsia" w:ascii="微软雅黑" w:hAnsi="微软雅黑" w:eastAsia="微软雅黑" w:cs="宋体"/>
                <w:b/>
                <w:bCs/>
                <w:color w:val="FFFFFF"/>
                <w:kern w:val="0"/>
                <w:sz w:val="20"/>
                <w:szCs w:val="20"/>
                <w:lang w:val="en-US" w:eastAsia="zh-CN" w:bidi="ar"/>
              </w:rPr>
              <w:t>二</w:t>
            </w:r>
            <w:r>
              <w:rPr>
                <w:rFonts w:hint="eastAsia" w:ascii="微软雅黑" w:hAnsi="微软雅黑" w:eastAsia="微软雅黑" w:cs="宋体"/>
                <w:b/>
                <w:bCs/>
                <w:color w:val="FFFFFF"/>
                <w:kern w:val="0"/>
                <w:sz w:val="20"/>
                <w:szCs w:val="20"/>
                <w:lang w:bidi="ar"/>
              </w:rPr>
              <w:t>季度</w:t>
            </w:r>
          </w:p>
        </w:tc>
        <w:tc>
          <w:tcPr>
            <w:tcW w:w="815" w:type="pct"/>
            <w:gridSpan w:val="4"/>
            <w:tcBorders>
              <w:top w:val="single" w:color="auto" w:sz="4" w:space="0"/>
              <w:left w:val="single" w:color="auto" w:sz="4" w:space="0"/>
              <w:bottom w:val="single" w:color="auto" w:sz="4" w:space="0"/>
              <w:right w:val="single" w:color="auto" w:sz="4" w:space="0"/>
            </w:tcBorders>
            <w:shd w:val="clear" w:color="auto" w:fill="2E75B6"/>
            <w:vAlign w:val="center"/>
          </w:tcPr>
          <w:p w14:paraId="18FDDD6C">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2</w:t>
            </w:r>
            <w:r>
              <w:rPr>
                <w:rFonts w:ascii="微软雅黑" w:hAnsi="微软雅黑" w:eastAsia="微软雅黑" w:cs="宋体"/>
                <w:b/>
                <w:bCs/>
                <w:color w:val="FFFFFF"/>
                <w:kern w:val="0"/>
                <w:sz w:val="20"/>
                <w:szCs w:val="20"/>
                <w:lang w:bidi="ar"/>
              </w:rPr>
              <w:t>02</w:t>
            </w:r>
            <w:r>
              <w:rPr>
                <w:rFonts w:hint="eastAsia" w:ascii="微软雅黑" w:hAnsi="微软雅黑" w:eastAsia="微软雅黑" w:cs="宋体"/>
                <w:b/>
                <w:bCs/>
                <w:color w:val="FFFFFF"/>
                <w:kern w:val="0"/>
                <w:sz w:val="20"/>
                <w:szCs w:val="20"/>
                <w:lang w:val="en-US" w:eastAsia="zh-CN" w:bidi="ar"/>
              </w:rPr>
              <w:t>6</w:t>
            </w:r>
            <w:r>
              <w:rPr>
                <w:rFonts w:hint="eastAsia" w:ascii="微软雅黑" w:hAnsi="微软雅黑" w:eastAsia="微软雅黑" w:cs="宋体"/>
                <w:b/>
                <w:bCs/>
                <w:color w:val="FFFFFF"/>
                <w:kern w:val="0"/>
                <w:sz w:val="20"/>
                <w:szCs w:val="20"/>
                <w:lang w:bidi="ar"/>
              </w:rPr>
              <w:t>年第</w:t>
            </w:r>
            <w:r>
              <w:rPr>
                <w:rFonts w:hint="eastAsia" w:ascii="微软雅黑" w:hAnsi="微软雅黑" w:eastAsia="微软雅黑" w:cs="宋体"/>
                <w:b/>
                <w:bCs/>
                <w:color w:val="FFFFFF"/>
                <w:kern w:val="0"/>
                <w:sz w:val="20"/>
                <w:szCs w:val="20"/>
                <w:lang w:val="en-US" w:eastAsia="zh-CN" w:bidi="ar"/>
              </w:rPr>
              <w:t>三</w:t>
            </w:r>
            <w:r>
              <w:rPr>
                <w:rFonts w:hint="eastAsia" w:ascii="微软雅黑" w:hAnsi="微软雅黑" w:eastAsia="微软雅黑" w:cs="宋体"/>
                <w:b/>
                <w:bCs/>
                <w:color w:val="FFFFFF"/>
                <w:kern w:val="0"/>
                <w:sz w:val="20"/>
                <w:szCs w:val="20"/>
                <w:lang w:bidi="ar"/>
              </w:rPr>
              <w:t>季度</w:t>
            </w:r>
          </w:p>
        </w:tc>
        <w:tc>
          <w:tcPr>
            <w:tcW w:w="888" w:type="pct"/>
            <w:gridSpan w:val="3"/>
            <w:tcBorders>
              <w:top w:val="single" w:color="auto" w:sz="4" w:space="0"/>
              <w:left w:val="single" w:color="auto" w:sz="4" w:space="0"/>
              <w:bottom w:val="single" w:color="auto" w:sz="4" w:space="0"/>
              <w:right w:val="single" w:color="auto" w:sz="4" w:space="0"/>
            </w:tcBorders>
            <w:shd w:val="clear" w:color="auto" w:fill="2E75B6"/>
            <w:vAlign w:val="center"/>
          </w:tcPr>
          <w:p w14:paraId="42D76D5F">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bidi="ar"/>
              </w:rPr>
              <w:t>2</w:t>
            </w:r>
            <w:r>
              <w:rPr>
                <w:rFonts w:ascii="微软雅黑" w:hAnsi="微软雅黑" w:eastAsia="微软雅黑" w:cs="宋体"/>
                <w:b/>
                <w:bCs/>
                <w:color w:val="FFFFFF"/>
                <w:kern w:val="0"/>
                <w:sz w:val="20"/>
                <w:szCs w:val="20"/>
                <w:lang w:bidi="ar"/>
              </w:rPr>
              <w:t>026</w:t>
            </w:r>
            <w:r>
              <w:rPr>
                <w:rFonts w:hint="eastAsia" w:ascii="微软雅黑" w:hAnsi="微软雅黑" w:eastAsia="微软雅黑" w:cs="宋体"/>
                <w:b/>
                <w:bCs/>
                <w:color w:val="FFFFFF"/>
                <w:kern w:val="0"/>
                <w:sz w:val="20"/>
                <w:szCs w:val="20"/>
                <w:lang w:bidi="ar"/>
              </w:rPr>
              <w:t>年第</w:t>
            </w:r>
            <w:r>
              <w:rPr>
                <w:rFonts w:hint="eastAsia" w:ascii="微软雅黑" w:hAnsi="微软雅黑" w:eastAsia="微软雅黑" w:cs="宋体"/>
                <w:b/>
                <w:bCs/>
                <w:color w:val="FFFFFF"/>
                <w:kern w:val="0"/>
                <w:sz w:val="20"/>
                <w:szCs w:val="20"/>
                <w:lang w:val="en-US" w:eastAsia="zh-CN" w:bidi="ar"/>
              </w:rPr>
              <w:t>四</w:t>
            </w:r>
            <w:r>
              <w:rPr>
                <w:rFonts w:hint="eastAsia" w:ascii="微软雅黑" w:hAnsi="微软雅黑" w:eastAsia="微软雅黑" w:cs="宋体"/>
                <w:b/>
                <w:bCs/>
                <w:color w:val="FFFFFF"/>
                <w:kern w:val="0"/>
                <w:sz w:val="20"/>
                <w:szCs w:val="20"/>
                <w:lang w:bidi="ar"/>
              </w:rPr>
              <w:t>季度</w:t>
            </w:r>
          </w:p>
        </w:tc>
      </w:tr>
      <w:tr w14:paraId="3F7323DA">
        <w:tblPrEx>
          <w:tblCellMar>
            <w:top w:w="0" w:type="dxa"/>
            <w:left w:w="108" w:type="dxa"/>
            <w:bottom w:w="0" w:type="dxa"/>
            <w:right w:w="108" w:type="dxa"/>
          </w:tblCellMar>
        </w:tblPrEx>
        <w:trPr>
          <w:trHeight w:val="288" w:hRule="atLeast"/>
        </w:trPr>
        <w:tc>
          <w:tcPr>
            <w:tcW w:w="532"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6629F85D">
            <w:pPr>
              <w:spacing w:line="360" w:lineRule="auto"/>
              <w:rPr>
                <w:rFonts w:hint="eastAsia" w:ascii="微软雅黑" w:hAnsi="微软雅黑" w:eastAsia="微软雅黑" w:cs="宋体"/>
                <w:b/>
                <w:bCs/>
                <w:color w:val="FFFFFF"/>
                <w:sz w:val="20"/>
                <w:szCs w:val="20"/>
              </w:rPr>
            </w:pPr>
          </w:p>
        </w:tc>
        <w:tc>
          <w:tcPr>
            <w:tcW w:w="422"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662C1008">
            <w:pPr>
              <w:spacing w:line="360" w:lineRule="auto"/>
              <w:rPr>
                <w:rFonts w:hint="eastAsia" w:ascii="微软雅黑" w:hAnsi="微软雅黑" w:eastAsia="微软雅黑" w:cs="宋体"/>
                <w:b/>
                <w:bCs/>
                <w:color w:val="FFFFFF"/>
                <w:sz w:val="20"/>
                <w:szCs w:val="20"/>
              </w:rPr>
            </w:pPr>
          </w:p>
        </w:tc>
        <w:tc>
          <w:tcPr>
            <w:tcW w:w="419"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37F3AA19">
            <w:pPr>
              <w:spacing w:line="360" w:lineRule="auto"/>
              <w:rPr>
                <w:rFonts w:hint="eastAsia" w:ascii="微软雅黑" w:hAnsi="微软雅黑" w:eastAsia="微软雅黑" w:cs="宋体"/>
                <w:b/>
                <w:bCs/>
                <w:color w:val="FFFFFF"/>
                <w:sz w:val="20"/>
                <w:szCs w:val="20"/>
              </w:rPr>
            </w:pPr>
          </w:p>
        </w:tc>
        <w:tc>
          <w:tcPr>
            <w:tcW w:w="214" w:type="pct"/>
            <w:vMerge w:val="continue"/>
            <w:tcBorders>
              <w:top w:val="single" w:color="auto" w:sz="4" w:space="0"/>
              <w:left w:val="single" w:color="auto" w:sz="4" w:space="0"/>
              <w:bottom w:val="single" w:color="auto" w:sz="4" w:space="0"/>
              <w:right w:val="single" w:color="auto" w:sz="4" w:space="0"/>
            </w:tcBorders>
            <w:shd w:val="clear" w:color="auto" w:fill="2E75B6"/>
            <w:vAlign w:val="center"/>
          </w:tcPr>
          <w:p w14:paraId="1ECB0CCC">
            <w:pPr>
              <w:spacing w:line="360" w:lineRule="auto"/>
              <w:rPr>
                <w:rFonts w:hint="eastAsia" w:ascii="微软雅黑" w:hAnsi="微软雅黑" w:eastAsia="微软雅黑" w:cs="宋体"/>
                <w:b/>
                <w:bCs/>
                <w:color w:val="FFFFFF"/>
                <w:sz w:val="20"/>
                <w:szCs w:val="20"/>
              </w:rPr>
            </w:pPr>
          </w:p>
        </w:tc>
        <w:tc>
          <w:tcPr>
            <w:tcW w:w="341"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5497FC1C">
            <w:pPr>
              <w:widowControl/>
              <w:spacing w:line="360" w:lineRule="auto"/>
              <w:textAlignment w:val="center"/>
              <w:rPr>
                <w:rFonts w:hint="eastAsia" w:ascii="微软雅黑" w:hAnsi="微软雅黑" w:eastAsia="微软雅黑" w:cs="宋体"/>
                <w:b/>
                <w:bCs/>
                <w:color w:val="FFFFFF"/>
                <w:kern w:val="2"/>
                <w:sz w:val="20"/>
                <w:szCs w:val="20"/>
                <w:lang w:val="en-US" w:eastAsia="zh-CN" w:bidi="ar-SA"/>
              </w:rPr>
            </w:pPr>
            <w:r>
              <w:rPr>
                <w:rFonts w:hint="eastAsia" w:ascii="微软雅黑" w:hAnsi="微软雅黑" w:eastAsia="微软雅黑" w:cs="宋体"/>
                <w:b/>
                <w:bCs/>
                <w:color w:val="FFFFFF"/>
                <w:sz w:val="20"/>
                <w:szCs w:val="20"/>
              </w:rPr>
              <w:t>1月</w:t>
            </w:r>
          </w:p>
        </w:tc>
        <w:tc>
          <w:tcPr>
            <w:tcW w:w="265"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66B9C6B4">
            <w:pPr>
              <w:widowControl/>
              <w:spacing w:line="360" w:lineRule="auto"/>
              <w:textAlignment w:val="center"/>
              <w:rPr>
                <w:rFonts w:hint="eastAsia" w:ascii="微软雅黑" w:hAnsi="微软雅黑" w:eastAsia="微软雅黑" w:cs="宋体"/>
                <w:b/>
                <w:bCs/>
                <w:color w:val="FFFFFF"/>
                <w:kern w:val="2"/>
                <w:sz w:val="20"/>
                <w:szCs w:val="20"/>
                <w:lang w:val="en-US" w:eastAsia="zh-CN" w:bidi="ar-SA"/>
              </w:rPr>
            </w:pPr>
            <w:r>
              <w:rPr>
                <w:rFonts w:hint="eastAsia" w:ascii="微软雅黑" w:hAnsi="微软雅黑" w:eastAsia="微软雅黑" w:cs="宋体"/>
                <w:b/>
                <w:bCs/>
                <w:color w:val="FFFFFF"/>
                <w:sz w:val="20"/>
                <w:szCs w:val="20"/>
              </w:rPr>
              <w:t>2月</w:t>
            </w:r>
          </w:p>
        </w:tc>
        <w:tc>
          <w:tcPr>
            <w:tcW w:w="282"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1804B89C">
            <w:pPr>
              <w:widowControl/>
              <w:spacing w:line="360" w:lineRule="auto"/>
              <w:textAlignment w:val="center"/>
              <w:rPr>
                <w:rFonts w:hint="eastAsia" w:ascii="微软雅黑" w:hAnsi="微软雅黑" w:eastAsia="微软雅黑" w:cs="宋体"/>
                <w:b/>
                <w:bCs/>
                <w:color w:val="FFFFFF"/>
                <w:kern w:val="2"/>
                <w:sz w:val="20"/>
                <w:szCs w:val="20"/>
                <w:lang w:val="en-US" w:eastAsia="zh-CN" w:bidi="ar-SA"/>
              </w:rPr>
            </w:pPr>
            <w:r>
              <w:rPr>
                <w:rFonts w:hint="eastAsia" w:ascii="微软雅黑" w:hAnsi="微软雅黑" w:eastAsia="微软雅黑" w:cs="宋体"/>
                <w:b/>
                <w:bCs/>
                <w:color w:val="FFFFFF"/>
                <w:sz w:val="20"/>
                <w:szCs w:val="20"/>
              </w:rPr>
              <w:t>3月</w:t>
            </w:r>
          </w:p>
        </w:tc>
        <w:tc>
          <w:tcPr>
            <w:tcW w:w="266"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423AC405">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val="en-US" w:eastAsia="zh-CN" w:bidi="ar"/>
              </w:rPr>
              <w:t>4</w:t>
            </w:r>
            <w:r>
              <w:rPr>
                <w:rFonts w:hint="eastAsia" w:ascii="微软雅黑" w:hAnsi="微软雅黑" w:eastAsia="微软雅黑" w:cs="宋体"/>
                <w:b/>
                <w:bCs/>
                <w:color w:val="FFFFFF"/>
                <w:kern w:val="0"/>
                <w:sz w:val="20"/>
                <w:szCs w:val="20"/>
                <w:lang w:bidi="ar"/>
              </w:rPr>
              <w:t>月</w:t>
            </w:r>
          </w:p>
        </w:tc>
        <w:tc>
          <w:tcPr>
            <w:tcW w:w="267"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0C7F6A0D">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val="en-US" w:eastAsia="zh-CN" w:bidi="ar"/>
              </w:rPr>
              <w:t>5</w:t>
            </w:r>
            <w:r>
              <w:rPr>
                <w:rFonts w:hint="eastAsia" w:ascii="微软雅黑" w:hAnsi="微软雅黑" w:eastAsia="微软雅黑" w:cs="宋体"/>
                <w:b/>
                <w:bCs/>
                <w:color w:val="FFFFFF"/>
                <w:kern w:val="0"/>
                <w:sz w:val="20"/>
                <w:szCs w:val="20"/>
                <w:lang w:bidi="ar"/>
              </w:rPr>
              <w:t>月</w:t>
            </w:r>
          </w:p>
        </w:tc>
        <w:tc>
          <w:tcPr>
            <w:tcW w:w="283"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48C4E4C5">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val="en-US" w:eastAsia="zh-CN" w:bidi="ar"/>
              </w:rPr>
              <w:t>6</w:t>
            </w:r>
            <w:r>
              <w:rPr>
                <w:rFonts w:hint="eastAsia" w:ascii="微软雅黑" w:hAnsi="微软雅黑" w:eastAsia="微软雅黑" w:cs="宋体"/>
                <w:b/>
                <w:bCs/>
                <w:color w:val="FFFFFF"/>
                <w:kern w:val="0"/>
                <w:sz w:val="20"/>
                <w:szCs w:val="20"/>
                <w:lang w:bidi="ar"/>
              </w:rPr>
              <w:t>月</w:t>
            </w:r>
          </w:p>
        </w:tc>
        <w:tc>
          <w:tcPr>
            <w:tcW w:w="267" w:type="pct"/>
            <w:gridSpan w:val="2"/>
            <w:tcBorders>
              <w:top w:val="single" w:color="auto" w:sz="4" w:space="0"/>
              <w:left w:val="single" w:color="auto" w:sz="4" w:space="0"/>
              <w:bottom w:val="single" w:color="auto" w:sz="4" w:space="0"/>
              <w:right w:val="single" w:color="auto" w:sz="4" w:space="0"/>
            </w:tcBorders>
            <w:shd w:val="clear" w:color="auto" w:fill="2E75B6"/>
            <w:vAlign w:val="center"/>
          </w:tcPr>
          <w:p w14:paraId="10BE585B">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val="en-US" w:eastAsia="zh-CN" w:bidi="ar"/>
              </w:rPr>
              <w:t>7</w:t>
            </w:r>
            <w:r>
              <w:rPr>
                <w:rFonts w:hint="eastAsia" w:ascii="微软雅黑" w:hAnsi="微软雅黑" w:eastAsia="微软雅黑" w:cs="宋体"/>
                <w:b/>
                <w:bCs/>
                <w:color w:val="FFFFFF"/>
                <w:kern w:val="0"/>
                <w:sz w:val="20"/>
                <w:szCs w:val="20"/>
                <w:lang w:bidi="ar"/>
              </w:rPr>
              <w:t>月</w:t>
            </w:r>
          </w:p>
        </w:tc>
        <w:tc>
          <w:tcPr>
            <w:tcW w:w="265" w:type="pct"/>
            <w:tcBorders>
              <w:top w:val="single" w:color="auto" w:sz="4" w:space="0"/>
              <w:left w:val="single" w:color="auto" w:sz="4" w:space="0"/>
              <w:bottom w:val="single" w:color="auto" w:sz="4" w:space="0"/>
              <w:right w:val="single" w:color="auto" w:sz="4" w:space="0"/>
            </w:tcBorders>
            <w:shd w:val="clear" w:color="auto" w:fill="2E75B6"/>
            <w:vAlign w:val="center"/>
          </w:tcPr>
          <w:p w14:paraId="0733B060">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val="en-US" w:eastAsia="zh-CN" w:bidi="ar"/>
              </w:rPr>
              <w:t>8</w:t>
            </w:r>
            <w:r>
              <w:rPr>
                <w:rFonts w:hint="eastAsia" w:ascii="微软雅黑" w:hAnsi="微软雅黑" w:eastAsia="微软雅黑" w:cs="宋体"/>
                <w:b/>
                <w:bCs/>
                <w:color w:val="FFFFFF"/>
                <w:kern w:val="0"/>
                <w:sz w:val="20"/>
                <w:szCs w:val="20"/>
                <w:lang w:bidi="ar"/>
              </w:rPr>
              <w:t>月</w:t>
            </w:r>
          </w:p>
        </w:tc>
        <w:tc>
          <w:tcPr>
            <w:tcW w:w="282" w:type="pct"/>
            <w:tcBorders>
              <w:top w:val="single" w:color="auto" w:sz="4" w:space="0"/>
              <w:left w:val="single" w:color="auto" w:sz="4" w:space="0"/>
              <w:bottom w:val="single" w:color="auto" w:sz="4" w:space="0"/>
              <w:right w:val="single" w:color="auto" w:sz="4" w:space="0"/>
            </w:tcBorders>
            <w:shd w:val="clear" w:color="auto" w:fill="2E75B6"/>
            <w:vAlign w:val="center"/>
          </w:tcPr>
          <w:p w14:paraId="7BBE0122">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kern w:val="0"/>
                <w:sz w:val="20"/>
                <w:szCs w:val="20"/>
                <w:lang w:val="en-US" w:eastAsia="zh-CN" w:bidi="ar"/>
              </w:rPr>
              <w:t>9</w:t>
            </w:r>
            <w:r>
              <w:rPr>
                <w:rFonts w:hint="eastAsia" w:ascii="微软雅黑" w:hAnsi="微软雅黑" w:eastAsia="微软雅黑" w:cs="宋体"/>
                <w:b/>
                <w:bCs/>
                <w:color w:val="FFFFFF"/>
                <w:kern w:val="0"/>
                <w:sz w:val="20"/>
                <w:szCs w:val="20"/>
                <w:lang w:bidi="ar"/>
              </w:rPr>
              <w:t>月</w:t>
            </w:r>
          </w:p>
        </w:tc>
        <w:tc>
          <w:tcPr>
            <w:tcW w:w="334" w:type="pct"/>
            <w:tcBorders>
              <w:top w:val="single" w:color="auto" w:sz="4" w:space="0"/>
              <w:left w:val="single" w:color="auto" w:sz="4" w:space="0"/>
              <w:bottom w:val="single" w:color="auto" w:sz="4" w:space="0"/>
              <w:right w:val="single" w:color="auto" w:sz="4" w:space="0"/>
            </w:tcBorders>
            <w:shd w:val="clear" w:color="auto" w:fill="2E75B6"/>
            <w:vAlign w:val="center"/>
          </w:tcPr>
          <w:p w14:paraId="6C89E0AA">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sz w:val="20"/>
                <w:szCs w:val="20"/>
              </w:rPr>
              <w:t>1</w:t>
            </w:r>
            <w:r>
              <w:rPr>
                <w:rFonts w:hint="eastAsia" w:ascii="微软雅黑" w:hAnsi="微软雅黑" w:eastAsia="微软雅黑" w:cs="宋体"/>
                <w:b/>
                <w:bCs/>
                <w:color w:val="FFFFFF"/>
                <w:sz w:val="20"/>
                <w:szCs w:val="20"/>
                <w:lang w:val="en-US" w:eastAsia="zh-CN"/>
              </w:rPr>
              <w:t>0</w:t>
            </w:r>
            <w:r>
              <w:rPr>
                <w:rFonts w:hint="eastAsia" w:ascii="微软雅黑" w:hAnsi="微软雅黑" w:eastAsia="微软雅黑" w:cs="宋体"/>
                <w:b/>
                <w:bCs/>
                <w:color w:val="FFFFFF"/>
                <w:sz w:val="20"/>
                <w:szCs w:val="20"/>
              </w:rPr>
              <w:t>月</w:t>
            </w:r>
          </w:p>
        </w:tc>
        <w:tc>
          <w:tcPr>
            <w:tcW w:w="279" w:type="pct"/>
            <w:tcBorders>
              <w:top w:val="single" w:color="auto" w:sz="4" w:space="0"/>
              <w:left w:val="single" w:color="auto" w:sz="4" w:space="0"/>
              <w:bottom w:val="single" w:color="auto" w:sz="4" w:space="0"/>
              <w:right w:val="single" w:color="auto" w:sz="4" w:space="0"/>
            </w:tcBorders>
            <w:shd w:val="clear" w:color="auto" w:fill="2E75B6"/>
            <w:vAlign w:val="center"/>
          </w:tcPr>
          <w:p w14:paraId="388AF1EA">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sz w:val="20"/>
                <w:szCs w:val="20"/>
                <w:lang w:val="en-US" w:eastAsia="zh-CN"/>
              </w:rPr>
              <w:t>11</w:t>
            </w:r>
            <w:r>
              <w:rPr>
                <w:rFonts w:hint="eastAsia" w:ascii="微软雅黑" w:hAnsi="微软雅黑" w:eastAsia="微软雅黑" w:cs="宋体"/>
                <w:b/>
                <w:bCs/>
                <w:color w:val="FFFFFF"/>
                <w:sz w:val="20"/>
                <w:szCs w:val="20"/>
              </w:rPr>
              <w:t>月</w:t>
            </w:r>
          </w:p>
        </w:tc>
        <w:tc>
          <w:tcPr>
            <w:tcW w:w="275" w:type="pct"/>
            <w:tcBorders>
              <w:top w:val="single" w:color="auto" w:sz="4" w:space="0"/>
              <w:left w:val="single" w:color="auto" w:sz="4" w:space="0"/>
              <w:bottom w:val="single" w:color="auto" w:sz="4" w:space="0"/>
              <w:right w:val="single" w:color="auto" w:sz="4" w:space="0"/>
            </w:tcBorders>
            <w:shd w:val="clear" w:color="auto" w:fill="2E75B6"/>
            <w:vAlign w:val="center"/>
          </w:tcPr>
          <w:p w14:paraId="0F385AD0">
            <w:pPr>
              <w:widowControl/>
              <w:spacing w:line="360" w:lineRule="auto"/>
              <w:textAlignment w:val="center"/>
              <w:rPr>
                <w:rFonts w:hint="eastAsia" w:ascii="微软雅黑" w:hAnsi="微软雅黑" w:eastAsia="微软雅黑" w:cs="宋体"/>
                <w:b/>
                <w:bCs/>
                <w:color w:val="FFFFFF"/>
                <w:sz w:val="20"/>
                <w:szCs w:val="20"/>
              </w:rPr>
            </w:pPr>
            <w:r>
              <w:rPr>
                <w:rFonts w:hint="eastAsia" w:ascii="微软雅黑" w:hAnsi="微软雅黑" w:eastAsia="微软雅黑" w:cs="宋体"/>
                <w:b/>
                <w:bCs/>
                <w:color w:val="FFFFFF"/>
                <w:sz w:val="20"/>
                <w:szCs w:val="20"/>
                <w:lang w:val="en-US" w:eastAsia="zh-CN"/>
              </w:rPr>
              <w:t>12</w:t>
            </w:r>
            <w:bookmarkStart w:id="3" w:name="_GoBack"/>
            <w:bookmarkEnd w:id="3"/>
            <w:r>
              <w:rPr>
                <w:rFonts w:hint="eastAsia" w:ascii="微软雅黑" w:hAnsi="微软雅黑" w:eastAsia="微软雅黑" w:cs="宋体"/>
                <w:b/>
                <w:bCs/>
                <w:color w:val="FFFFFF"/>
                <w:sz w:val="20"/>
                <w:szCs w:val="20"/>
              </w:rPr>
              <w:t>月</w:t>
            </w:r>
          </w:p>
        </w:tc>
      </w:tr>
      <w:tr w14:paraId="66966B9F">
        <w:tblPrEx>
          <w:tblCellMar>
            <w:top w:w="0" w:type="dxa"/>
            <w:left w:w="108" w:type="dxa"/>
            <w:bottom w:w="0" w:type="dxa"/>
            <w:right w:w="108" w:type="dxa"/>
          </w:tblCellMar>
        </w:tblPrEx>
        <w:trPr>
          <w:trHeight w:val="1223" w:hRule="atLeast"/>
        </w:trPr>
        <w:tc>
          <w:tcPr>
            <w:tcW w:w="532" w:type="pct"/>
            <w:tcBorders>
              <w:top w:val="single" w:color="auto" w:sz="4" w:space="0"/>
              <w:left w:val="single" w:color="auto" w:sz="4" w:space="0"/>
              <w:bottom w:val="single" w:color="auto" w:sz="4" w:space="0"/>
              <w:right w:val="single" w:color="auto" w:sz="4" w:space="0"/>
            </w:tcBorders>
            <w:vAlign w:val="center"/>
          </w:tcPr>
          <w:p w14:paraId="7B2CCE5F">
            <w:pPr>
              <w:widowControl/>
              <w:spacing w:line="360" w:lineRule="auto"/>
              <w:textAlignment w:val="center"/>
              <w:rPr>
                <w:rFonts w:hint="eastAsia" w:ascii="微软雅黑" w:hAnsi="微软雅黑" w:eastAsia="微软雅黑" w:cs="宋体"/>
                <w:color w:val="000000"/>
                <w:sz w:val="20"/>
                <w:szCs w:val="20"/>
              </w:rPr>
            </w:pPr>
            <w:r>
              <w:rPr>
                <w:rFonts w:hint="eastAsia" w:ascii="微软雅黑" w:hAnsi="微软雅黑" w:eastAsia="微软雅黑" w:cs="宋体"/>
                <w:color w:val="000000"/>
                <w:sz w:val="20"/>
                <w:szCs w:val="20"/>
              </w:rPr>
              <w:t>可乐必妥</w:t>
            </w:r>
          </w:p>
        </w:tc>
        <w:tc>
          <w:tcPr>
            <w:tcW w:w="422" w:type="pct"/>
            <w:tcBorders>
              <w:top w:val="single" w:color="auto" w:sz="4" w:space="0"/>
              <w:left w:val="single" w:color="auto" w:sz="4" w:space="0"/>
              <w:bottom w:val="single" w:color="auto" w:sz="4" w:space="0"/>
              <w:right w:val="single" w:color="auto" w:sz="4" w:space="0"/>
            </w:tcBorders>
            <w:vAlign w:val="center"/>
          </w:tcPr>
          <w:p w14:paraId="276D96E8">
            <w:pPr>
              <w:widowControl/>
              <w:spacing w:line="360" w:lineRule="auto"/>
              <w:textAlignment w:val="center"/>
              <w:rPr>
                <w:rFonts w:hint="eastAsia" w:ascii="微软雅黑" w:hAnsi="微软雅黑" w:eastAsia="微软雅黑" w:cs="宋体"/>
                <w:color w:val="000000"/>
                <w:sz w:val="20"/>
                <w:szCs w:val="20"/>
              </w:rPr>
            </w:pPr>
            <w:r>
              <w:rPr>
                <w:rFonts w:hint="eastAsia" w:ascii="微软雅黑" w:hAnsi="微软雅黑" w:eastAsia="微软雅黑" w:cs="宋体"/>
                <w:color w:val="000000"/>
                <w:sz w:val="20"/>
                <w:szCs w:val="20"/>
              </w:rPr>
              <w:t>左氧氟沙星片</w:t>
            </w:r>
          </w:p>
        </w:tc>
        <w:tc>
          <w:tcPr>
            <w:tcW w:w="419" w:type="pct"/>
            <w:tcBorders>
              <w:top w:val="single" w:color="auto" w:sz="4" w:space="0"/>
              <w:left w:val="single" w:color="auto" w:sz="4" w:space="0"/>
              <w:bottom w:val="single" w:color="auto" w:sz="4" w:space="0"/>
              <w:right w:val="single" w:color="auto" w:sz="4" w:space="0"/>
            </w:tcBorders>
            <w:vAlign w:val="center"/>
          </w:tcPr>
          <w:p w14:paraId="4462F4B0">
            <w:pPr>
              <w:widowControl/>
              <w:spacing w:line="360" w:lineRule="auto"/>
              <w:textAlignment w:val="center"/>
              <w:rPr>
                <w:rFonts w:hint="eastAsia" w:ascii="微软雅黑" w:hAnsi="微软雅黑" w:eastAsia="微软雅黑" w:cs="宋体"/>
                <w:color w:val="000000"/>
                <w:sz w:val="20"/>
                <w:szCs w:val="20"/>
              </w:rPr>
            </w:pPr>
            <w:r>
              <w:rPr>
                <w:rFonts w:hint="eastAsia" w:ascii="微软雅黑" w:hAnsi="微软雅黑" w:eastAsia="微软雅黑" w:cs="宋体"/>
                <w:color w:val="000000"/>
                <w:kern w:val="0"/>
                <w:sz w:val="20"/>
                <w:szCs w:val="20"/>
                <w:lang w:bidi="ar"/>
              </w:rPr>
              <w:t>0.5g*4片</w:t>
            </w:r>
          </w:p>
        </w:tc>
        <w:tc>
          <w:tcPr>
            <w:tcW w:w="214" w:type="pct"/>
            <w:tcBorders>
              <w:top w:val="single" w:color="auto" w:sz="4" w:space="0"/>
              <w:left w:val="single" w:color="auto" w:sz="4" w:space="0"/>
              <w:bottom w:val="single" w:color="auto" w:sz="4" w:space="0"/>
              <w:right w:val="single" w:color="auto" w:sz="4" w:space="0"/>
            </w:tcBorders>
            <w:vAlign w:val="center"/>
          </w:tcPr>
          <w:p w14:paraId="340FC74F">
            <w:pPr>
              <w:widowControl/>
              <w:spacing w:line="360" w:lineRule="auto"/>
              <w:textAlignment w:val="center"/>
              <w:rPr>
                <w:rFonts w:hint="eastAsia" w:ascii="微软雅黑" w:hAnsi="微软雅黑" w:eastAsia="微软雅黑" w:cs="宋体"/>
                <w:color w:val="000000"/>
                <w:sz w:val="20"/>
                <w:szCs w:val="20"/>
              </w:rPr>
            </w:pPr>
            <w:r>
              <w:rPr>
                <w:rFonts w:hint="eastAsia" w:ascii="微软雅黑" w:hAnsi="微软雅黑" w:eastAsia="微软雅黑" w:cs="宋体"/>
                <w:color w:val="000000"/>
                <w:kern w:val="0"/>
                <w:sz w:val="20"/>
                <w:szCs w:val="20"/>
                <w:lang w:bidi="ar"/>
              </w:rPr>
              <w:t>盒</w:t>
            </w:r>
          </w:p>
        </w:tc>
        <w:tc>
          <w:tcPr>
            <w:tcW w:w="280"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CFEDC61">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80"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B28EB8D">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80"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29A6614">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79"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7BA0980">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80"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876AB8B">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9</w:t>
            </w:r>
            <w:r>
              <w:rPr>
                <w:rFonts w:ascii="微软雅黑" w:hAnsi="微软雅黑" w:eastAsia="微软雅黑" w:cs="宋体"/>
                <w:b/>
                <w:bCs/>
                <w:color w:val="000000"/>
                <w:sz w:val="20"/>
                <w:szCs w:val="20"/>
              </w:rPr>
              <w:t>000</w:t>
            </w:r>
          </w:p>
        </w:tc>
        <w:tc>
          <w:tcPr>
            <w:tcW w:w="280"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62CF85F">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9</w:t>
            </w:r>
            <w:r>
              <w:rPr>
                <w:rFonts w:ascii="微软雅黑" w:hAnsi="微软雅黑" w:eastAsia="微软雅黑" w:cs="宋体"/>
                <w:b/>
                <w:bCs/>
                <w:color w:val="000000"/>
                <w:sz w:val="20"/>
                <w:szCs w:val="20"/>
              </w:rPr>
              <w:t>000</w:t>
            </w:r>
          </w:p>
        </w:tc>
        <w:tc>
          <w:tcPr>
            <w:tcW w:w="279"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006625C">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80" w:type="pct"/>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65633C0">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8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DF8C932">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334"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1E8F1C">
            <w:pPr>
              <w:spacing w:line="360" w:lineRule="auto"/>
              <w:rPr>
                <w:rFonts w:hint="eastAsia" w:ascii="微软雅黑" w:hAnsi="微软雅黑" w:eastAsia="微软雅黑" w:cs="宋体"/>
                <w:b/>
                <w:bCs/>
                <w:color w:val="000000"/>
                <w:sz w:val="20"/>
                <w:szCs w:val="20"/>
              </w:rPr>
            </w:pPr>
            <w:r>
              <w:rPr>
                <w:rFonts w:ascii="微软雅黑" w:hAnsi="微软雅黑" w:eastAsia="微软雅黑" w:cs="宋体"/>
                <w:b/>
                <w:bCs/>
                <w:color w:val="000000"/>
                <w:sz w:val="20"/>
                <w:szCs w:val="20"/>
              </w:rPr>
              <w:t>10000</w:t>
            </w:r>
          </w:p>
        </w:tc>
        <w:tc>
          <w:tcPr>
            <w:tcW w:w="27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AB7DC41">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c>
          <w:tcPr>
            <w:tcW w:w="27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3BD4FA">
            <w:pPr>
              <w:spacing w:line="360" w:lineRule="auto"/>
              <w:rPr>
                <w:rFonts w:hint="eastAsia" w:ascii="微软雅黑" w:hAnsi="微软雅黑" w:eastAsia="微软雅黑" w:cs="宋体"/>
                <w:b/>
                <w:bCs/>
                <w:color w:val="000000"/>
                <w:sz w:val="20"/>
                <w:szCs w:val="20"/>
              </w:rPr>
            </w:pPr>
            <w:r>
              <w:rPr>
                <w:rFonts w:hint="eastAsia" w:ascii="微软雅黑" w:hAnsi="微软雅黑" w:eastAsia="微软雅黑" w:cs="宋体"/>
                <w:b/>
                <w:bCs/>
                <w:color w:val="000000"/>
                <w:sz w:val="20"/>
                <w:szCs w:val="20"/>
              </w:rPr>
              <w:t>8</w:t>
            </w:r>
            <w:r>
              <w:rPr>
                <w:rFonts w:ascii="微软雅黑" w:hAnsi="微软雅黑" w:eastAsia="微软雅黑" w:cs="宋体"/>
                <w:b/>
                <w:bCs/>
                <w:color w:val="000000"/>
                <w:sz w:val="20"/>
                <w:szCs w:val="20"/>
              </w:rPr>
              <w:t>000</w:t>
            </w:r>
          </w:p>
        </w:tc>
      </w:tr>
    </w:tbl>
    <w:p w14:paraId="3004C206">
      <w:pPr>
        <w:spacing w:line="360" w:lineRule="auto"/>
        <w:rPr>
          <w:rFonts w:hint="eastAsia" w:ascii="微软雅黑" w:hAnsi="微软雅黑" w:eastAsia="微软雅黑" w:cs="宋体"/>
          <w:szCs w:val="21"/>
        </w:rPr>
      </w:pPr>
    </w:p>
    <w:p w14:paraId="5CE5A6AA">
      <w:pPr>
        <w:spacing w:line="360" w:lineRule="auto"/>
        <w:ind w:firstLine="360" w:firstLineChars="200"/>
        <w:rPr>
          <w:rFonts w:hint="eastAsia" w:ascii="微软雅黑" w:hAnsi="微软雅黑" w:eastAsia="微软雅黑" w:cs="宋体"/>
          <w:sz w:val="18"/>
          <w:szCs w:val="18"/>
        </w:rPr>
      </w:pPr>
      <w:r>
        <w:rPr>
          <w:rFonts w:hint="eastAsia" w:ascii="微软雅黑" w:hAnsi="微软雅黑" w:eastAsia="微软雅黑" w:cs="宋体"/>
          <w:sz w:val="18"/>
          <w:szCs w:val="18"/>
        </w:rPr>
        <w:t>有效期自</w:t>
      </w:r>
      <w:r>
        <w:rPr>
          <w:rFonts w:hint="eastAsia" w:ascii="微软雅黑" w:hAnsi="微软雅黑" w:eastAsia="微软雅黑" w:cs="宋体"/>
          <w:sz w:val="18"/>
          <w:szCs w:val="18"/>
          <w:u w:val="single"/>
        </w:rPr>
        <w:t xml:space="preserve"> 2026年1月1日</w:t>
      </w:r>
      <w:r>
        <w:rPr>
          <w:rFonts w:hint="eastAsia" w:ascii="微软雅黑" w:hAnsi="微软雅黑" w:eastAsia="微软雅黑" w:cs="宋体"/>
          <w:sz w:val="18"/>
          <w:szCs w:val="18"/>
        </w:rPr>
        <w:t>起至</w:t>
      </w:r>
      <w:r>
        <w:rPr>
          <w:rFonts w:hint="eastAsia" w:ascii="微软雅黑" w:hAnsi="微软雅黑" w:eastAsia="微软雅黑" w:cs="宋体"/>
          <w:sz w:val="18"/>
          <w:szCs w:val="18"/>
          <w:u w:val="single"/>
        </w:rPr>
        <w:t>2026年12月31日</w:t>
      </w:r>
      <w:r>
        <w:rPr>
          <w:rFonts w:hint="eastAsia" w:ascii="微软雅黑" w:hAnsi="微软雅黑" w:eastAsia="微软雅黑" w:cs="宋体"/>
          <w:sz w:val="18"/>
          <w:szCs w:val="18"/>
        </w:rPr>
        <w:t>止</w:t>
      </w:r>
    </w:p>
    <w:p w14:paraId="56FA5139">
      <w:pPr>
        <w:spacing w:line="360" w:lineRule="auto"/>
        <w:rPr>
          <w:rFonts w:hint="eastAsia" w:ascii="微软雅黑" w:hAnsi="微软雅黑" w:eastAsia="微软雅黑" w:cs="宋体"/>
          <w:sz w:val="18"/>
          <w:szCs w:val="18"/>
        </w:rPr>
      </w:pPr>
    </w:p>
    <w:p w14:paraId="3E9FE48A">
      <w:pPr>
        <w:spacing w:line="360" w:lineRule="auto"/>
        <w:jc w:val="right"/>
        <w:rPr>
          <w:rFonts w:hint="eastAsia" w:ascii="微软雅黑" w:hAnsi="微软雅黑" w:eastAsia="微软雅黑" w:cs="宋体"/>
          <w:sz w:val="18"/>
          <w:szCs w:val="18"/>
        </w:rPr>
      </w:pPr>
      <w:r>
        <w:rPr>
          <w:rFonts w:hint="eastAsia" w:ascii="微软雅黑" w:hAnsi="微软雅黑" w:eastAsia="微软雅黑" w:cs="宋体"/>
          <w:sz w:val="18"/>
          <w:szCs w:val="18"/>
        </w:rPr>
        <w:t xml:space="preserve">                                                                  xxx医药连锁集团股份有限公司，盖章：</w:t>
      </w:r>
    </w:p>
    <w:p w14:paraId="485DEA42">
      <w:pPr>
        <w:spacing w:line="360" w:lineRule="auto"/>
        <w:jc w:val="right"/>
        <w:rPr>
          <w:rFonts w:hint="eastAsia" w:ascii="微软雅黑" w:hAnsi="微软雅黑" w:eastAsia="微软雅黑" w:cs="宋体"/>
          <w:sz w:val="18"/>
          <w:szCs w:val="18"/>
        </w:rPr>
      </w:pPr>
    </w:p>
    <w:p w14:paraId="40B005AC">
      <w:pPr>
        <w:spacing w:line="360" w:lineRule="auto"/>
        <w:jc w:val="right"/>
        <w:rPr>
          <w:rFonts w:hint="eastAsia" w:ascii="微软雅黑" w:hAnsi="微软雅黑" w:eastAsia="微软雅黑"/>
          <w:sz w:val="15"/>
          <w:szCs w:val="16"/>
        </w:rPr>
      </w:pPr>
      <w:r>
        <w:rPr>
          <w:rFonts w:ascii="微软雅黑" w:hAnsi="微软雅黑" w:eastAsia="微软雅黑" w:cs="宋体"/>
          <w:sz w:val="18"/>
          <w:szCs w:val="18"/>
        </w:rPr>
        <w:t>重庆海斯曼药业有限责任公司</w:t>
      </w:r>
      <w:r>
        <w:rPr>
          <w:rFonts w:hint="eastAsia" w:ascii="微软雅黑" w:hAnsi="微软雅黑" w:eastAsia="微软雅黑" w:cs="宋体"/>
          <w:sz w:val="18"/>
          <w:szCs w:val="18"/>
        </w:rPr>
        <w:t>，盖章：</w:t>
      </w:r>
      <w:bookmarkStart w:id="2" w:name="OLE_LINK1"/>
      <w:bookmarkEnd w:id="2"/>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B614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1A48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1F1A48C">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3219BE8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971F8">
    <w:pPr>
      <w:pStyle w:val="6"/>
      <w:pBdr>
        <w:bottom w:val="single" w:color="auto" w:sz="4" w:space="1"/>
      </w:pBdr>
      <w:tabs>
        <w:tab w:val="clear" w:pos="4153"/>
      </w:tabs>
    </w:pPr>
    <w:r>
      <w:rPr>
        <w:rFonts w:hint="eastAsia"/>
      </w:rPr>
      <w:t>协议编号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2F797F"/>
    <w:rsid w:val="00021242"/>
    <w:rsid w:val="000666B1"/>
    <w:rsid w:val="00087713"/>
    <w:rsid w:val="000E3FDF"/>
    <w:rsid w:val="000E7B0D"/>
    <w:rsid w:val="000F5D19"/>
    <w:rsid w:val="001369E8"/>
    <w:rsid w:val="00152604"/>
    <w:rsid w:val="00177696"/>
    <w:rsid w:val="001A4675"/>
    <w:rsid w:val="001B2FCE"/>
    <w:rsid w:val="001B375B"/>
    <w:rsid w:val="001D240F"/>
    <w:rsid w:val="001E13E3"/>
    <w:rsid w:val="002319B1"/>
    <w:rsid w:val="00253800"/>
    <w:rsid w:val="00302F0F"/>
    <w:rsid w:val="003A21D7"/>
    <w:rsid w:val="003C18C7"/>
    <w:rsid w:val="003E4FFE"/>
    <w:rsid w:val="003E5F5F"/>
    <w:rsid w:val="003F1923"/>
    <w:rsid w:val="00404813"/>
    <w:rsid w:val="00457DE4"/>
    <w:rsid w:val="004847CE"/>
    <w:rsid w:val="00492C49"/>
    <w:rsid w:val="004A4B50"/>
    <w:rsid w:val="004D701C"/>
    <w:rsid w:val="004F087D"/>
    <w:rsid w:val="005049DE"/>
    <w:rsid w:val="00513FF9"/>
    <w:rsid w:val="00542068"/>
    <w:rsid w:val="005709E0"/>
    <w:rsid w:val="00573779"/>
    <w:rsid w:val="005974C1"/>
    <w:rsid w:val="005A5F3D"/>
    <w:rsid w:val="005C0A28"/>
    <w:rsid w:val="005E358A"/>
    <w:rsid w:val="005F3355"/>
    <w:rsid w:val="005F404A"/>
    <w:rsid w:val="00621184"/>
    <w:rsid w:val="0062547C"/>
    <w:rsid w:val="00664BF5"/>
    <w:rsid w:val="006C0224"/>
    <w:rsid w:val="006E6115"/>
    <w:rsid w:val="006F3964"/>
    <w:rsid w:val="00720651"/>
    <w:rsid w:val="00724416"/>
    <w:rsid w:val="00736307"/>
    <w:rsid w:val="00783C44"/>
    <w:rsid w:val="00784022"/>
    <w:rsid w:val="00807022"/>
    <w:rsid w:val="00835F65"/>
    <w:rsid w:val="00866B82"/>
    <w:rsid w:val="00875F65"/>
    <w:rsid w:val="00882DED"/>
    <w:rsid w:val="00894FC9"/>
    <w:rsid w:val="008964C0"/>
    <w:rsid w:val="008A2ACA"/>
    <w:rsid w:val="008E4870"/>
    <w:rsid w:val="009143AA"/>
    <w:rsid w:val="00927B99"/>
    <w:rsid w:val="00953F24"/>
    <w:rsid w:val="009552FB"/>
    <w:rsid w:val="00986B18"/>
    <w:rsid w:val="009A1B00"/>
    <w:rsid w:val="009B1BAA"/>
    <w:rsid w:val="009B4C25"/>
    <w:rsid w:val="00A07062"/>
    <w:rsid w:val="00A317ED"/>
    <w:rsid w:val="00A34859"/>
    <w:rsid w:val="00A34E0C"/>
    <w:rsid w:val="00A37516"/>
    <w:rsid w:val="00A42F4A"/>
    <w:rsid w:val="00A675DA"/>
    <w:rsid w:val="00A81E7B"/>
    <w:rsid w:val="00A87255"/>
    <w:rsid w:val="00AA6196"/>
    <w:rsid w:val="00AD3AEC"/>
    <w:rsid w:val="00AD6113"/>
    <w:rsid w:val="00B175FC"/>
    <w:rsid w:val="00B51D2C"/>
    <w:rsid w:val="00B92EDB"/>
    <w:rsid w:val="00BD1C32"/>
    <w:rsid w:val="00BE6F80"/>
    <w:rsid w:val="00C71E3E"/>
    <w:rsid w:val="00CB3EAB"/>
    <w:rsid w:val="00CC66CC"/>
    <w:rsid w:val="00D229EA"/>
    <w:rsid w:val="00D5450D"/>
    <w:rsid w:val="00D7240C"/>
    <w:rsid w:val="00D9116F"/>
    <w:rsid w:val="00D931FF"/>
    <w:rsid w:val="00DE6C3F"/>
    <w:rsid w:val="00E028BB"/>
    <w:rsid w:val="00E1038E"/>
    <w:rsid w:val="00E20B05"/>
    <w:rsid w:val="00E21C38"/>
    <w:rsid w:val="00E27E68"/>
    <w:rsid w:val="00E44CEB"/>
    <w:rsid w:val="00F4580F"/>
    <w:rsid w:val="00F752A2"/>
    <w:rsid w:val="00F761E3"/>
    <w:rsid w:val="00F83827"/>
    <w:rsid w:val="00FA1342"/>
    <w:rsid w:val="00FB10B9"/>
    <w:rsid w:val="00FE000B"/>
    <w:rsid w:val="029D35C7"/>
    <w:rsid w:val="03235DEC"/>
    <w:rsid w:val="0596062B"/>
    <w:rsid w:val="064A4110"/>
    <w:rsid w:val="06661C62"/>
    <w:rsid w:val="07BB0B6A"/>
    <w:rsid w:val="086F6358"/>
    <w:rsid w:val="0B1957C1"/>
    <w:rsid w:val="0BB47AC2"/>
    <w:rsid w:val="0C8A5A23"/>
    <w:rsid w:val="0C965FB3"/>
    <w:rsid w:val="0D9D24E2"/>
    <w:rsid w:val="0E8B0B0A"/>
    <w:rsid w:val="0F466B59"/>
    <w:rsid w:val="0F5C63C8"/>
    <w:rsid w:val="0FA57681"/>
    <w:rsid w:val="11D21713"/>
    <w:rsid w:val="120172B0"/>
    <w:rsid w:val="133B4C77"/>
    <w:rsid w:val="136E32AE"/>
    <w:rsid w:val="14290EC1"/>
    <w:rsid w:val="14326E6B"/>
    <w:rsid w:val="1455500E"/>
    <w:rsid w:val="14AC5611"/>
    <w:rsid w:val="15193728"/>
    <w:rsid w:val="16196B4E"/>
    <w:rsid w:val="1650209F"/>
    <w:rsid w:val="16F04B91"/>
    <w:rsid w:val="195A5D27"/>
    <w:rsid w:val="1A963243"/>
    <w:rsid w:val="1C5350A4"/>
    <w:rsid w:val="1DDC06A0"/>
    <w:rsid w:val="1E712589"/>
    <w:rsid w:val="1EB3670C"/>
    <w:rsid w:val="1EED093B"/>
    <w:rsid w:val="2000198D"/>
    <w:rsid w:val="209E7805"/>
    <w:rsid w:val="21E04BBC"/>
    <w:rsid w:val="221E5B15"/>
    <w:rsid w:val="23586385"/>
    <w:rsid w:val="23B42E8F"/>
    <w:rsid w:val="25360362"/>
    <w:rsid w:val="25AE6F86"/>
    <w:rsid w:val="267743AD"/>
    <w:rsid w:val="268C4A4A"/>
    <w:rsid w:val="26E26592"/>
    <w:rsid w:val="26E81C2D"/>
    <w:rsid w:val="270257A2"/>
    <w:rsid w:val="27F33861"/>
    <w:rsid w:val="2AB50CCA"/>
    <w:rsid w:val="2BD55941"/>
    <w:rsid w:val="2BDE3F9A"/>
    <w:rsid w:val="2CD025BB"/>
    <w:rsid w:val="2E0F4BE9"/>
    <w:rsid w:val="2F4966AC"/>
    <w:rsid w:val="30EF7B29"/>
    <w:rsid w:val="31EC1380"/>
    <w:rsid w:val="342F797F"/>
    <w:rsid w:val="3435638A"/>
    <w:rsid w:val="348C0943"/>
    <w:rsid w:val="35AF56F5"/>
    <w:rsid w:val="37BF3055"/>
    <w:rsid w:val="38C213AA"/>
    <w:rsid w:val="3AFA0013"/>
    <w:rsid w:val="3B620744"/>
    <w:rsid w:val="3BAC6F91"/>
    <w:rsid w:val="3BF93548"/>
    <w:rsid w:val="3C0271FA"/>
    <w:rsid w:val="3CD613E9"/>
    <w:rsid w:val="3D071D75"/>
    <w:rsid w:val="3DD66076"/>
    <w:rsid w:val="3E5D0EF4"/>
    <w:rsid w:val="3E8F30B2"/>
    <w:rsid w:val="3F920E50"/>
    <w:rsid w:val="3FF58DC7"/>
    <w:rsid w:val="400F5EE0"/>
    <w:rsid w:val="401541B2"/>
    <w:rsid w:val="40456919"/>
    <w:rsid w:val="40CA57AF"/>
    <w:rsid w:val="41D56FEF"/>
    <w:rsid w:val="421C27EF"/>
    <w:rsid w:val="42F50296"/>
    <w:rsid w:val="446E4C0B"/>
    <w:rsid w:val="45824F44"/>
    <w:rsid w:val="45A76244"/>
    <w:rsid w:val="461F68FE"/>
    <w:rsid w:val="467558CA"/>
    <w:rsid w:val="46AB7B7A"/>
    <w:rsid w:val="471D6A57"/>
    <w:rsid w:val="47D26AF8"/>
    <w:rsid w:val="483F42E6"/>
    <w:rsid w:val="4AB3223A"/>
    <w:rsid w:val="4B197E08"/>
    <w:rsid w:val="4BB8782E"/>
    <w:rsid w:val="4BFD7962"/>
    <w:rsid w:val="4D7C592E"/>
    <w:rsid w:val="4DF07E6B"/>
    <w:rsid w:val="4F0A109E"/>
    <w:rsid w:val="4F871AD7"/>
    <w:rsid w:val="50624906"/>
    <w:rsid w:val="51CF1C76"/>
    <w:rsid w:val="52BA10C9"/>
    <w:rsid w:val="52EC343D"/>
    <w:rsid w:val="52ED298A"/>
    <w:rsid w:val="54A746A1"/>
    <w:rsid w:val="54CE257A"/>
    <w:rsid w:val="554E1253"/>
    <w:rsid w:val="56E368F2"/>
    <w:rsid w:val="576D1445"/>
    <w:rsid w:val="57883A6E"/>
    <w:rsid w:val="578F7F03"/>
    <w:rsid w:val="57DC7374"/>
    <w:rsid w:val="596F0BD4"/>
    <w:rsid w:val="597C07CB"/>
    <w:rsid w:val="5B385E68"/>
    <w:rsid w:val="5C1A1AA6"/>
    <w:rsid w:val="5C2D4B44"/>
    <w:rsid w:val="5C3F468B"/>
    <w:rsid w:val="5C7C64AD"/>
    <w:rsid w:val="5E4334E7"/>
    <w:rsid w:val="5EDA20E2"/>
    <w:rsid w:val="5EFC451E"/>
    <w:rsid w:val="5F044D6D"/>
    <w:rsid w:val="5F3A5DCA"/>
    <w:rsid w:val="5F8E7A52"/>
    <w:rsid w:val="5FD91DF9"/>
    <w:rsid w:val="5FEE798C"/>
    <w:rsid w:val="601C57A4"/>
    <w:rsid w:val="62DB2573"/>
    <w:rsid w:val="647C6B19"/>
    <w:rsid w:val="64EC5BD8"/>
    <w:rsid w:val="67B13EAA"/>
    <w:rsid w:val="68CD4B9F"/>
    <w:rsid w:val="695666D7"/>
    <w:rsid w:val="69D814F8"/>
    <w:rsid w:val="69D84292"/>
    <w:rsid w:val="6D220D98"/>
    <w:rsid w:val="6D441D73"/>
    <w:rsid w:val="6D8B6ABD"/>
    <w:rsid w:val="6EB3022A"/>
    <w:rsid w:val="6F484BF3"/>
    <w:rsid w:val="6FC42D73"/>
    <w:rsid w:val="70496F07"/>
    <w:rsid w:val="70761836"/>
    <w:rsid w:val="745D6E73"/>
    <w:rsid w:val="748F2553"/>
    <w:rsid w:val="74F80974"/>
    <w:rsid w:val="74F9420D"/>
    <w:rsid w:val="75D40693"/>
    <w:rsid w:val="765F2C74"/>
    <w:rsid w:val="76A767BB"/>
    <w:rsid w:val="76F868AE"/>
    <w:rsid w:val="77DF26A9"/>
    <w:rsid w:val="7A502CCF"/>
    <w:rsid w:val="7A5F078B"/>
    <w:rsid w:val="7B855D28"/>
    <w:rsid w:val="7BD947E6"/>
    <w:rsid w:val="7CB244A3"/>
    <w:rsid w:val="7D985C79"/>
    <w:rsid w:val="7DB0578B"/>
    <w:rsid w:val="7E580057"/>
    <w:rsid w:val="7EBE5E67"/>
    <w:rsid w:val="7F6056A7"/>
    <w:rsid w:val="7F6B7218"/>
    <w:rsid w:val="7FFA2940"/>
    <w:rsid w:val="9FF5D0CA"/>
    <w:rsid w:val="F7FF0D63"/>
    <w:rsid w:val="FB7F3CD1"/>
    <w:rsid w:val="FCEF102C"/>
    <w:rsid w:val="FFB6D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paragraph" w:styleId="4">
    <w:name w:val="heading 4"/>
    <w:basedOn w:val="1"/>
    <w:next w:val="1"/>
    <w:link w:val="13"/>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标题 2 字符"/>
    <w:basedOn w:val="9"/>
    <w:link w:val="2"/>
    <w:semiHidden/>
    <w:qFormat/>
    <w:uiPriority w:val="0"/>
    <w:rPr>
      <w:rFonts w:asciiTheme="majorHAnsi" w:hAnsiTheme="majorHAnsi" w:eastAsiaTheme="majorEastAsia" w:cstheme="majorBidi"/>
      <w:b/>
      <w:bCs/>
      <w:kern w:val="2"/>
      <w:sz w:val="32"/>
      <w:szCs w:val="32"/>
    </w:rPr>
  </w:style>
  <w:style w:type="paragraph" w:styleId="12">
    <w:name w:val="List Paragraph"/>
    <w:basedOn w:val="1"/>
    <w:unhideWhenUsed/>
    <w:qFormat/>
    <w:uiPriority w:val="99"/>
    <w:pPr>
      <w:ind w:firstLine="420" w:firstLineChars="200"/>
    </w:pPr>
  </w:style>
  <w:style w:type="character" w:customStyle="1" w:styleId="13">
    <w:name w:val="标题 4 字符"/>
    <w:basedOn w:val="9"/>
    <w:link w:val="4"/>
    <w:semiHidden/>
    <w:qFormat/>
    <w:uiPriority w:val="0"/>
    <w:rPr>
      <w:rFonts w:asciiTheme="majorHAnsi" w:hAnsiTheme="majorHAnsi" w:eastAsiaTheme="majorEastAsia" w:cstheme="majorBidi"/>
      <w:b/>
      <w:bCs/>
      <w:kern w:val="2"/>
      <w:sz w:val="28"/>
      <w:szCs w:val="28"/>
    </w:rPr>
  </w:style>
  <w:style w:type="paragraph" w:customStyle="1" w:styleId="14">
    <w:name w:val="修订1"/>
    <w:hidden/>
    <w:unhideWhenUsed/>
    <w:qFormat/>
    <w:uiPriority w:val="99"/>
    <w:rPr>
      <w:rFonts w:ascii="Times New Roman" w:hAnsi="Times New Roman" w:eastAsia="宋体" w:cs="Times New Roman"/>
      <w:kern w:val="2"/>
      <w:sz w:val="21"/>
      <w:szCs w:val="22"/>
      <w:lang w:val="en-US" w:eastAsia="zh-CN" w:bidi="ar-SA"/>
    </w:rPr>
  </w:style>
  <w:style w:type="paragraph" w:customStyle="1" w:styleId="15">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2825</Words>
  <Characters>3038</Characters>
  <Lines>117</Lines>
  <Paragraphs>138</Paragraphs>
  <TotalTime>1</TotalTime>
  <ScaleCrop>false</ScaleCrop>
  <LinksUpToDate>false</LinksUpToDate>
  <CharactersWithSpaces>3123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2025-10-13T11:41:00Z</dcterms:created>
  <dc:creator>8207429801</dc:creator>
  <cp:lastModifiedBy>JK</cp:lastModifiedBy>
  <cp:lastPrinted>2026-02-05T07:46:00Z</cp:lastPrinted>
  <dcterms:modified xsi:type="dcterms:W3CDTF">2026-06-26T01:06:29Z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48A3D6EA6BBF1E61F4F283698310E5DE_43</vt:lpwstr>
  </property>
  <property fmtid="{D5CDD505-2E9C-101B-9397-08002B2CF9AE}" pid="4" name="KSOTemplateDocerSaveRecord">
    <vt:lpwstr>eyJoZGlkIjoiZjk5YjI4ODgzOTg1NmM2ODI5MTkwNGRiMTRmNWJjN2QiLCJ1c2VySWQiOiIxNjE5OTg5ODA1In0=</vt:lpwstr>
  </property>
</Properties>
</file>