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glossary/footnotes.xml" ContentType="application/vnd.openxmlformats-officedocument.wordprocessingml.footnote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ED9DC">
      <w:pPr>
        <w:tabs>
          <w:tab w:val="left" w:pos="4500"/>
          <w:tab w:val="left" w:pos="7200"/>
        </w:tabs>
        <w:spacing w:before="312" w:beforeLines="100" w:after="312" w:afterLines="100" w:line="360" w:lineRule="auto"/>
        <w:jc w:val="center"/>
        <w:rPr>
          <w:rFonts w:hint="eastAsia" w:ascii="黑体" w:hAnsi="黑体" w:eastAsia="黑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2026年产品合作</w:t>
      </w:r>
      <w:r>
        <w:rPr>
          <w:rFonts w:ascii="宋体" w:hAnsi="宋体"/>
          <w:b/>
          <w:sz w:val="36"/>
          <w:szCs w:val="36"/>
        </w:rPr>
        <w:t>协议</w:t>
      </w:r>
    </w:p>
    <w:p w14:paraId="22A8B872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  <w:u w:val="single"/>
        </w:rPr>
      </w:pPr>
      <w:bookmarkStart w:id="0" w:name="OLE_LINK4"/>
      <w:r>
        <w:rPr>
          <w:rFonts w:hint="eastAsia" w:ascii="宋体" w:hAnsi="宋体"/>
          <w:sz w:val="24"/>
          <w:szCs w:val="24"/>
        </w:rPr>
        <w:t>甲方：</w:t>
      </w:r>
      <w:r>
        <w:rPr>
          <w:rFonts w:hint="eastAsia" w:ascii="宋体" w:hAnsi="宋体"/>
          <w:sz w:val="24"/>
          <w:szCs w:val="24"/>
          <w:u w:val="single"/>
        </w:rPr>
        <w:t>重庆海斯曼药业有限责任公司</w:t>
      </w:r>
    </w:p>
    <w:p w14:paraId="3DB8B9FE">
      <w:pPr>
        <w:spacing w:before="156" w:beforeLines="50" w:line="360" w:lineRule="auto"/>
        <w:ind w:firstLine="480" w:firstLineChars="200"/>
        <w:rPr>
          <w:rFonts w:hint="eastAsia" w:ascii="宋体" w:hAnsi="宋体"/>
          <w:color w:val="FF0000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乙方：</w:t>
      </w:r>
      <w:r>
        <w:rPr>
          <w:rFonts w:hint="eastAsia" w:ascii="宋体" w:hAnsi="宋体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xxx医药连锁集团股份有限公司</w:t>
      </w:r>
    </w:p>
    <w:p w14:paraId="72C4112C">
      <w:pPr>
        <w:spacing w:line="360" w:lineRule="auto"/>
        <w:ind w:firstLine="420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宋体" w:hAnsi="宋体"/>
          <w:sz w:val="24"/>
          <w:szCs w:val="24"/>
        </w:rPr>
        <w:t>为拓展市场，依据国家相关法律法规，本着平等互利的原则，经甲、乙双方友好协商，就相关市场推广合作事宜达成如下协议：</w:t>
      </w:r>
    </w:p>
    <w:p w14:paraId="66D3C542">
      <w:pPr>
        <w:spacing w:before="156" w:beforeLines="50" w:after="156" w:afterLines="50" w:line="360" w:lineRule="auto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一、合作产品政策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6"/>
        <w:gridCol w:w="1036"/>
        <w:gridCol w:w="1037"/>
        <w:gridCol w:w="1037"/>
        <w:gridCol w:w="1037"/>
        <w:gridCol w:w="1037"/>
        <w:gridCol w:w="1038"/>
        <w:gridCol w:w="1038"/>
      </w:tblGrid>
      <w:tr w14:paraId="5188C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6" w:type="dxa"/>
          </w:tcPr>
          <w:p w14:paraId="654373FA">
            <w:pPr>
              <w:spacing w:before="156" w:beforeLines="50" w:after="156" w:afterLines="50" w:line="360" w:lineRule="auto"/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036" w:type="dxa"/>
          </w:tcPr>
          <w:p w14:paraId="67C53973">
            <w:pPr>
              <w:spacing w:before="156" w:beforeLines="50" w:after="156" w:afterLines="50" w:line="360" w:lineRule="auto"/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1037" w:type="dxa"/>
          </w:tcPr>
          <w:p w14:paraId="1439E5BE">
            <w:pPr>
              <w:spacing w:before="156" w:beforeLines="50" w:after="156" w:afterLines="50" w:line="360" w:lineRule="auto"/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生产企业</w:t>
            </w:r>
          </w:p>
        </w:tc>
        <w:tc>
          <w:tcPr>
            <w:tcW w:w="1037" w:type="dxa"/>
          </w:tcPr>
          <w:p w14:paraId="0C2F7242">
            <w:pPr>
              <w:spacing w:before="156" w:beforeLines="50" w:after="156" w:afterLines="50" w:line="360" w:lineRule="auto"/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规格</w:t>
            </w:r>
          </w:p>
        </w:tc>
        <w:tc>
          <w:tcPr>
            <w:tcW w:w="1037" w:type="dxa"/>
          </w:tcPr>
          <w:p w14:paraId="133F055A">
            <w:pPr>
              <w:spacing w:before="156" w:beforeLines="50" w:after="156" w:afterLines="50" w:line="360" w:lineRule="auto"/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1037" w:type="dxa"/>
          </w:tcPr>
          <w:p w14:paraId="73BD0A16">
            <w:pPr>
              <w:spacing w:before="156" w:beforeLines="50" w:after="156" w:afterLines="50" w:line="360" w:lineRule="auto"/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进价</w:t>
            </w:r>
          </w:p>
        </w:tc>
        <w:tc>
          <w:tcPr>
            <w:tcW w:w="1038" w:type="dxa"/>
          </w:tcPr>
          <w:p w14:paraId="3638D744">
            <w:pPr>
              <w:spacing w:before="156" w:beforeLines="50" w:after="156" w:afterLines="50" w:line="360" w:lineRule="auto"/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建议零售价</w:t>
            </w:r>
          </w:p>
        </w:tc>
        <w:tc>
          <w:tcPr>
            <w:tcW w:w="1038" w:type="dxa"/>
          </w:tcPr>
          <w:p w14:paraId="3DA72D7C">
            <w:pPr>
              <w:spacing w:before="156" w:beforeLines="50" w:after="156" w:afterLines="50" w:line="360" w:lineRule="auto"/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预算费用标准</w:t>
            </w:r>
          </w:p>
        </w:tc>
      </w:tr>
      <w:tr w14:paraId="03F2E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6" w:type="dxa"/>
          </w:tcPr>
          <w:p w14:paraId="07A57E6D">
            <w:pPr>
              <w:spacing w:before="156" w:beforeLines="50" w:after="156" w:afterLines="50" w:line="360" w:lineRule="auto"/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036" w:type="dxa"/>
          </w:tcPr>
          <w:p w14:paraId="72EFC4CE">
            <w:pPr>
              <w:spacing w:before="156" w:beforeLines="50" w:after="156" w:afterLines="50" w:line="360" w:lineRule="auto"/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左氧氟沙星</w:t>
            </w:r>
          </w:p>
        </w:tc>
        <w:tc>
          <w:tcPr>
            <w:tcW w:w="1037" w:type="dxa"/>
          </w:tcPr>
          <w:p w14:paraId="735E0F4A">
            <w:pPr>
              <w:spacing w:before="156" w:beforeLines="50" w:after="156" w:afterLines="50" w:line="360" w:lineRule="auto"/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北京吉洛华制药有限公司</w:t>
            </w:r>
          </w:p>
        </w:tc>
        <w:tc>
          <w:tcPr>
            <w:tcW w:w="1037" w:type="dxa"/>
          </w:tcPr>
          <w:p w14:paraId="7A7D7ED8">
            <w:pPr>
              <w:spacing w:before="156" w:beforeLines="50" w:after="156" w:afterLines="50" w:line="360" w:lineRule="auto"/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0.5g*4片</w:t>
            </w:r>
          </w:p>
        </w:tc>
        <w:tc>
          <w:tcPr>
            <w:tcW w:w="1037" w:type="dxa"/>
          </w:tcPr>
          <w:p w14:paraId="3B781323">
            <w:pPr>
              <w:spacing w:before="156" w:beforeLines="50" w:after="156" w:afterLines="50" w:line="360" w:lineRule="auto"/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盒</w:t>
            </w:r>
          </w:p>
        </w:tc>
        <w:tc>
          <w:tcPr>
            <w:tcW w:w="1037" w:type="dxa"/>
          </w:tcPr>
          <w:p w14:paraId="08830A7F">
            <w:pPr>
              <w:spacing w:before="156" w:beforeLines="50" w:after="156" w:afterLines="50" w:line="360" w:lineRule="auto"/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33.12元</w:t>
            </w:r>
          </w:p>
        </w:tc>
        <w:tc>
          <w:tcPr>
            <w:tcW w:w="1038" w:type="dxa"/>
          </w:tcPr>
          <w:p w14:paraId="26366961">
            <w:pPr>
              <w:spacing w:before="156" w:beforeLines="50" w:after="156" w:afterLines="50" w:line="360" w:lineRule="auto"/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33.12元</w:t>
            </w:r>
          </w:p>
        </w:tc>
        <w:tc>
          <w:tcPr>
            <w:tcW w:w="1038" w:type="dxa"/>
          </w:tcPr>
          <w:p w14:paraId="10756D68">
            <w:pPr>
              <w:spacing w:before="156" w:beforeLines="50" w:after="156" w:afterLines="50" w:line="360" w:lineRule="auto"/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3.12元</w:t>
            </w:r>
          </w:p>
        </w:tc>
      </w:tr>
      <w:tr w14:paraId="09E19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6" w:type="dxa"/>
          </w:tcPr>
          <w:p w14:paraId="1893E781">
            <w:pPr>
              <w:spacing w:before="156" w:beforeLines="50" w:after="156" w:afterLines="50" w:line="360" w:lineRule="auto"/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36" w:type="dxa"/>
          </w:tcPr>
          <w:p w14:paraId="7D24FBCD">
            <w:pPr>
              <w:spacing w:before="156" w:beforeLines="50" w:after="156" w:afterLines="50" w:line="360" w:lineRule="auto"/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37" w:type="dxa"/>
          </w:tcPr>
          <w:p w14:paraId="0EDCF3AB">
            <w:pPr>
              <w:spacing w:before="156" w:beforeLines="50" w:after="156" w:afterLines="50" w:line="360" w:lineRule="auto"/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37" w:type="dxa"/>
          </w:tcPr>
          <w:p w14:paraId="4D7C94E7">
            <w:pPr>
              <w:spacing w:before="156" w:beforeLines="50" w:after="156" w:afterLines="50" w:line="360" w:lineRule="auto"/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37" w:type="dxa"/>
          </w:tcPr>
          <w:p w14:paraId="3F693B15">
            <w:pPr>
              <w:spacing w:before="156" w:beforeLines="50" w:after="156" w:afterLines="50" w:line="360" w:lineRule="auto"/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37" w:type="dxa"/>
          </w:tcPr>
          <w:p w14:paraId="430C7450">
            <w:pPr>
              <w:spacing w:before="156" w:beforeLines="50" w:after="156" w:afterLines="50" w:line="360" w:lineRule="auto"/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38" w:type="dxa"/>
          </w:tcPr>
          <w:p w14:paraId="4FD6F92D">
            <w:pPr>
              <w:spacing w:before="156" w:beforeLines="50" w:after="156" w:afterLines="50" w:line="360" w:lineRule="auto"/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38" w:type="dxa"/>
          </w:tcPr>
          <w:p w14:paraId="05222491">
            <w:pPr>
              <w:spacing w:before="156" w:beforeLines="50" w:after="156" w:afterLines="50" w:line="360" w:lineRule="auto"/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</w:pPr>
          </w:p>
        </w:tc>
      </w:tr>
    </w:tbl>
    <w:p w14:paraId="2DEE6573">
      <w:pPr>
        <w:spacing w:before="156" w:beforeLines="50" w:after="156" w:afterLines="50" w:line="360" w:lineRule="auto"/>
        <w:rPr>
          <w:rFonts w:hint="eastAsia" w:ascii="宋体" w:hAnsi="宋体"/>
          <w:b/>
          <w:bCs/>
          <w:sz w:val="28"/>
          <w:szCs w:val="28"/>
        </w:rPr>
      </w:pPr>
    </w:p>
    <w:p w14:paraId="2DB6BCCD">
      <w:pPr>
        <w:spacing w:before="156" w:beforeLines="50" w:after="156" w:afterLines="50" w:line="360" w:lineRule="auto"/>
        <w:rPr>
          <w:rFonts w:hint="eastAsia" w:ascii="微软雅黑" w:hAnsi="微软雅黑" w:eastAsia="微软雅黑"/>
          <w:b/>
          <w:bCs/>
          <w:sz w:val="20"/>
          <w:szCs w:val="20"/>
        </w:rPr>
      </w:pPr>
      <w:r>
        <w:rPr>
          <w:rFonts w:ascii="宋体" w:hAnsi="宋体"/>
          <w:b/>
          <w:bCs/>
          <w:sz w:val="28"/>
          <w:szCs w:val="28"/>
        </w:rPr>
        <w:t>二、费用预算</w:t>
      </w:r>
      <w:r>
        <w:rPr>
          <w:rFonts w:hint="eastAsia" w:ascii="宋体" w:hAnsi="宋体"/>
          <w:b/>
          <w:bCs/>
          <w:sz w:val="28"/>
          <w:szCs w:val="28"/>
        </w:rPr>
        <w:t>与结算</w:t>
      </w:r>
    </w:p>
    <w:p w14:paraId="5675DE03">
      <w:pPr>
        <w:spacing w:before="156" w:beforeLines="50" w:after="156" w:afterLines="50" w:line="360" w:lineRule="auto"/>
        <w:rPr>
          <w:rFonts w:hint="eastAsia" w:ascii="宋体" w:hAnsi="宋体"/>
          <w:b/>
          <w:bCs/>
          <w:sz w:val="24"/>
          <w:szCs w:val="24"/>
        </w:rPr>
      </w:pPr>
      <w:r>
        <w:rPr>
          <w:rFonts w:ascii="宋体" w:hAnsi="宋体"/>
          <w:b/>
          <w:bCs/>
          <w:sz w:val="24"/>
          <w:szCs w:val="24"/>
        </w:rPr>
        <w:t>2.1</w:t>
      </w:r>
      <w:r>
        <w:rPr>
          <w:rFonts w:hint="eastAsia" w:ascii="宋体" w:hAnsi="宋体"/>
          <w:b/>
          <w:bCs/>
          <w:sz w:val="24"/>
          <w:szCs w:val="24"/>
        </w:rPr>
        <w:t>费用预算</w:t>
      </w:r>
    </w:p>
    <w:p w14:paraId="02D2F541">
      <w:pPr>
        <w:spacing w:before="156" w:beforeLines="50" w:after="156" w:afterLines="50"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甲方根据乙方向进货商业的</w:t>
      </w:r>
      <w:r>
        <w:rPr>
          <w:rFonts w:hint="eastAsia" w:ascii="宋体" w:hAnsi="宋体"/>
          <w:b/>
          <w:bCs/>
          <w:sz w:val="24"/>
          <w:szCs w:val="24"/>
          <w:u w:val="single"/>
        </w:rPr>
        <w:t>购进数量*预算费用标准</w:t>
      </w:r>
      <w:r>
        <w:rPr>
          <w:rFonts w:hint="eastAsia" w:ascii="宋体" w:hAnsi="宋体"/>
          <w:sz w:val="24"/>
          <w:szCs w:val="24"/>
        </w:rPr>
        <w:t>，</w:t>
      </w:r>
      <w:r>
        <w:rPr>
          <w:rFonts w:ascii="宋体" w:hAnsi="宋体"/>
          <w:sz w:val="24"/>
          <w:szCs w:val="24"/>
        </w:rPr>
        <w:t>制定相应的推广费用预算</w:t>
      </w:r>
      <w:r>
        <w:rPr>
          <w:rFonts w:hint="eastAsia" w:ascii="宋体" w:hAnsi="宋体"/>
          <w:sz w:val="24"/>
          <w:szCs w:val="24"/>
        </w:rPr>
        <w:t>。</w:t>
      </w:r>
    </w:p>
    <w:p w14:paraId="7217821F">
      <w:pPr>
        <w:spacing w:before="156" w:beforeLines="50" w:after="156" w:afterLines="50" w:line="360" w:lineRule="auto"/>
        <w:rPr>
          <w:rFonts w:hint="eastAsia"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2.2 费用结算</w:t>
      </w:r>
    </w:p>
    <w:p w14:paraId="0AE7D25C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本协议第2.1条约定的 “费用预算”，是甲方支付推广服务费的</w:t>
      </w:r>
      <w:r>
        <w:rPr>
          <w:rFonts w:ascii="宋体" w:hAnsi="宋体"/>
          <w:b/>
          <w:bCs/>
          <w:sz w:val="24"/>
          <w:szCs w:val="24"/>
        </w:rPr>
        <w:t>最高限额</w:t>
      </w:r>
      <w:r>
        <w:rPr>
          <w:rFonts w:ascii="宋体" w:hAnsi="宋体"/>
          <w:sz w:val="24"/>
          <w:szCs w:val="24"/>
        </w:rPr>
        <w:t>，实际</w:t>
      </w:r>
      <w:r>
        <w:rPr>
          <w:rFonts w:hint="eastAsia" w:ascii="宋体" w:hAnsi="宋体"/>
          <w:sz w:val="24"/>
          <w:szCs w:val="24"/>
        </w:rPr>
        <w:t>推广服务费根据双方另行签订的《202</w:t>
      </w:r>
      <w:r>
        <w:rPr>
          <w:rFonts w:hint="eastAsia" w:ascii="宋体" w:hAnsi="宋体"/>
          <w:sz w:val="24"/>
          <w:szCs w:val="24"/>
          <w:lang w:val="en-US" w:eastAsia="zh-CN"/>
        </w:rPr>
        <w:t>6</w:t>
      </w:r>
      <w:r>
        <w:rPr>
          <w:rFonts w:hint="eastAsia" w:ascii="宋体" w:hAnsi="宋体"/>
          <w:sz w:val="24"/>
          <w:szCs w:val="24"/>
        </w:rPr>
        <w:t>年年度服务协议》约定的市场推广服务工作完成情况进行实际结算，并按该协议服务费结算相关约定执行。</w:t>
      </w:r>
    </w:p>
    <w:p w14:paraId="7A7DB79C">
      <w:pPr>
        <w:spacing w:before="156" w:beforeLines="50" w:after="156" w:afterLines="50" w:line="360" w:lineRule="auto"/>
        <w:rPr>
          <w:rFonts w:hint="eastAsia"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三、经销范围</w:t>
      </w:r>
    </w:p>
    <w:p w14:paraId="43F9D19C">
      <w:pPr>
        <w:spacing w:before="156" w:beforeLines="50" w:after="156" w:afterLines="50" w:line="360" w:lineRule="auto"/>
        <w:rPr>
          <w:rFonts w:hint="eastAsia" w:ascii="宋体" w:hAnsi="宋体"/>
          <w:b/>
          <w:bCs/>
          <w:sz w:val="24"/>
          <w:szCs w:val="24"/>
        </w:rPr>
      </w:pPr>
      <w:r>
        <w:rPr>
          <w:rFonts w:ascii="宋体" w:hAnsi="宋体"/>
          <w:b/>
          <w:bCs/>
          <w:sz w:val="24"/>
          <w:szCs w:val="24"/>
        </w:rPr>
        <w:t>3.1授权经销渠道</w:t>
      </w:r>
    </w:p>
    <w:p w14:paraId="61EB23EA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乙方仅有权通过以下渠道经销甲方协议产品：</w:t>
      </w:r>
    </w:p>
    <w:p w14:paraId="14CDA479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>.乙方自身下属门店（含直营门店、加盟门店，加盟门店需提供乙方与加盟商的授权协议复印件）；</w:t>
      </w:r>
    </w:p>
    <w:p w14:paraId="302B6EFB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>.乙方关联公司下属门店（关联公司需满足“乙方直接或间接持股≥50%”或“乙方实际控制”，且需提前向甲方备案关联公司名单）。</w:t>
      </w:r>
    </w:p>
    <w:p w14:paraId="0D4D4F6E">
      <w:pPr>
        <w:spacing w:before="156" w:beforeLines="50" w:after="156" w:afterLines="50" w:line="360" w:lineRule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ascii="宋体" w:hAnsi="宋体"/>
          <w:b/>
          <w:bCs/>
          <w:sz w:val="24"/>
          <w:szCs w:val="24"/>
        </w:rPr>
        <w:t>3.2禁止经销渠道与违约责任</w:t>
      </w:r>
    </w:p>
    <w:p w14:paraId="69ECE3EF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乙方不得通过以下渠道经销协议产品，否则视为违约：</w:t>
      </w:r>
    </w:p>
    <w:p w14:paraId="3FF131C6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>.商业经销（即向非授权门店或第三方企业转售产品）；</w:t>
      </w:r>
    </w:p>
    <w:p w14:paraId="230F4CA0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>.线上B端电商平台（如</w:t>
      </w:r>
      <w:r>
        <w:rPr>
          <w:rFonts w:hint="eastAsia" w:ascii="宋体" w:hAnsi="宋体"/>
          <w:sz w:val="24"/>
          <w:szCs w:val="24"/>
        </w:rPr>
        <w:t>壹药网、药师帮等</w:t>
      </w:r>
      <w:r>
        <w:rPr>
          <w:rFonts w:ascii="宋体" w:hAnsi="宋体"/>
          <w:sz w:val="24"/>
          <w:szCs w:val="24"/>
        </w:rPr>
        <w:t>电商平台）；</w:t>
      </w:r>
    </w:p>
    <w:p w14:paraId="1CFB6BD8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3.在O2O平台（如美团、闪购等）或C端电商平台（如天猫、京东等）开设的店铺； </w:t>
      </w:r>
    </w:p>
    <w:p w14:paraId="74650F83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若乙方违反上述约定，甲方有权采取以下措施：</w:t>
      </w:r>
    </w:p>
    <w:p w14:paraId="641110D2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>.将乙方在违规平台经销产品的 “发货对应月份” 全部门店终端流向数据，不计入当月预算费用核算或推广效果评估范围；</w:t>
      </w:r>
    </w:p>
    <w:p w14:paraId="7DBF286B"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>.若对应月份费用已预算或已支付，甲方有权要求乙方返还已支付费用，或在未支付费用中直接扣除（扣除金额不超过违规对应金额的2倍）。</w:t>
      </w:r>
    </w:p>
    <w:p w14:paraId="4642A357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3.3乙方不得</w:t>
      </w:r>
      <w:r>
        <w:rPr>
          <w:rFonts w:hint="eastAsia" w:ascii="宋体" w:hAnsi="宋体"/>
          <w:sz w:val="24"/>
          <w:szCs w:val="24"/>
        </w:rPr>
        <w:t>在 020 平台(如美团、闪购、饿了么等)或C端电商平台(如天猫、京东等)开设的店铺</w:t>
      </w:r>
      <w:r>
        <w:rPr>
          <w:rFonts w:hint="eastAsia" w:ascii="宋体" w:hAnsi="宋体"/>
          <w:sz w:val="24"/>
          <w:szCs w:val="24"/>
          <w:lang w:val="en-US" w:eastAsia="zh-CN"/>
        </w:rPr>
        <w:t>中，实施扰乱市场秩序、影响品牌价值和恶意操控市场等损害甲方利益的行为，否则甲方有权要求乙方赔偿由此给甲方造成的全部损失，并赔偿甲方</w:t>
      </w:r>
      <w:r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销售数量乘以10倍中标价</w:t>
      </w:r>
      <w:r>
        <w:rPr>
          <w:rFonts w:hint="eastAsia" w:ascii="宋体" w:hAnsi="宋体"/>
          <w:sz w:val="24"/>
          <w:szCs w:val="24"/>
          <w:lang w:val="en-US" w:eastAsia="zh-CN"/>
        </w:rPr>
        <w:t>违约金。</w:t>
      </w:r>
    </w:p>
    <w:p w14:paraId="77D274BF">
      <w:pPr>
        <w:spacing w:before="156" w:beforeLines="50" w:after="156" w:afterLines="50" w:line="360" w:lineRule="auto"/>
        <w:rPr>
          <w:rFonts w:hint="eastAsia"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四、进货商业公</w:t>
      </w:r>
      <w:bookmarkStart w:id="1" w:name="_GoBack"/>
      <w:bookmarkEnd w:id="1"/>
      <w:r>
        <w:rPr>
          <w:rFonts w:ascii="宋体" w:hAnsi="宋体"/>
          <w:b/>
          <w:bCs/>
          <w:sz w:val="28"/>
          <w:szCs w:val="28"/>
        </w:rPr>
        <w:t>司</w:t>
      </w:r>
    </w:p>
    <w:p w14:paraId="5FD5BF04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甲乙双方共同确认，本协议项下合作产品的</w:t>
      </w:r>
      <w:r>
        <w:rPr>
          <w:rFonts w:ascii="宋体" w:hAnsi="宋体"/>
          <w:b/>
          <w:bCs/>
          <w:sz w:val="24"/>
          <w:szCs w:val="24"/>
        </w:rPr>
        <w:t>唯一规划商业公司</w:t>
      </w:r>
      <w:r>
        <w:rPr>
          <w:rFonts w:ascii="宋体" w:hAnsi="宋体"/>
          <w:sz w:val="24"/>
          <w:szCs w:val="24"/>
        </w:rPr>
        <w:t>为：</w:t>
      </w:r>
    </w:p>
    <w:p w14:paraId="260DF191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>.华润广东医药有限公司；</w:t>
      </w:r>
    </w:p>
    <w:p w14:paraId="7FF91DD7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>.重庆医药和平医药批发有限公司。</w:t>
      </w:r>
    </w:p>
    <w:p w14:paraId="12FABCF7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乙方需通过上述规划商业公司进行要货、配送，不得通过其他商业公司采购协议产品；若需新增规划商业公司，需经双方书面确认后补充至本条款。</w:t>
      </w:r>
    </w:p>
    <w:p w14:paraId="38300CF3">
      <w:pPr>
        <w:spacing w:before="156" w:beforeLines="50" w:after="156" w:afterLines="50" w:line="360" w:lineRule="auto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五、其他约定</w:t>
      </w:r>
    </w:p>
    <w:p w14:paraId="266D891E"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5.</w:t>
      </w:r>
      <w:r>
        <w:rPr>
          <w:rFonts w:ascii="宋体" w:hAnsi="宋体"/>
          <w:sz w:val="24"/>
          <w:szCs w:val="24"/>
        </w:rPr>
        <w:t xml:space="preserve">1 </w:t>
      </w:r>
      <w:r>
        <w:rPr>
          <w:rFonts w:hint="eastAsia" w:ascii="宋体" w:hAnsi="宋体"/>
          <w:sz w:val="24"/>
          <w:szCs w:val="24"/>
        </w:rPr>
        <w:t>乙方应维护甲方产品品牌形象，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维持产品在门店销售的稳定性和合规性，不能进行扰乱甲方产品市场秩序等活动，</w:t>
      </w:r>
      <w:r>
        <w:rPr>
          <w:rFonts w:hint="eastAsia" w:ascii="宋体" w:hAnsi="宋体"/>
          <w:sz w:val="24"/>
          <w:szCs w:val="24"/>
        </w:rPr>
        <w:t>若乙方未经甲方同意单方面进行上述活动，甲方有权立即终止此协议。</w:t>
      </w:r>
    </w:p>
    <w:p w14:paraId="21388CD4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5.2 </w:t>
      </w:r>
      <w:r>
        <w:rPr>
          <w:rFonts w:ascii="宋体" w:hAnsi="宋体"/>
          <w:sz w:val="24"/>
          <w:szCs w:val="24"/>
        </w:rPr>
        <w:t>如果乙方在非授权渠道销售合作产品，则甲方有权要求乙方按违约渠道销售产品的销售数量乘以10倍中标价的标准赔偿甲方违约赔偿金</w:t>
      </w:r>
    </w:p>
    <w:p w14:paraId="3AF68EF3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5.3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t>甲方有权对合作产品的经营活动进行监督检查。</w:t>
      </w:r>
      <w:r>
        <w:rPr>
          <w:rFonts w:ascii="宋体" w:hAnsi="宋体"/>
          <w:sz w:val="24"/>
          <w:szCs w:val="24"/>
        </w:rPr>
        <w:t>包括但不限于：查阅门店销售台账、库存记录；实地检查门店陈列、促销活动；核验与规划商业公司的采购单据。乙方需配合甲方的监督检查，不得拒绝或隐瞒相关信息。</w:t>
      </w:r>
    </w:p>
    <w:p w14:paraId="3F0E6DFF">
      <w:pPr>
        <w:spacing w:line="360" w:lineRule="auto"/>
        <w:ind w:firstLine="480" w:firstLineChars="200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宋体" w:hAnsi="宋体"/>
          <w:sz w:val="24"/>
          <w:szCs w:val="24"/>
        </w:rPr>
        <w:t>5.4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t>保密：本协议的内容以及乙方在本协议项下知悉的与甲方产品、价格或业务有关的任何非公开信息均为甲方的保密信息。未经甲方提前书面允许，乙方不应将任何上述信息披露给第三方。乙方上述保密义务应在本协议终止后持续有效。若乙方违反保密义务，甲方有权解除协议，给甲方造成损失的，则乙方还将按照甲方实际损失进行赔偿。</w:t>
      </w:r>
    </w:p>
    <w:p w14:paraId="279E9DF0">
      <w:pPr>
        <w:spacing w:before="156" w:beforeLines="50" w:after="156" w:afterLines="50" w:line="360" w:lineRule="auto"/>
        <w:rPr>
          <w:rFonts w:hint="eastAsia"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六、协议期限</w:t>
      </w:r>
    </w:p>
    <w:p w14:paraId="0B1DD2E9">
      <w:pPr>
        <w:pStyle w:val="31"/>
        <w:spacing w:line="360" w:lineRule="auto"/>
        <w:ind w:left="480" w:firstLine="480"/>
        <w:rPr>
          <w:rFonts w:hint="eastAsia" w:ascii="宋体" w:hAnsi="宋体"/>
          <w:b/>
          <w:bCs/>
          <w:sz w:val="24"/>
          <w:u w:val="single"/>
        </w:rPr>
      </w:pPr>
      <w:r>
        <w:rPr>
          <w:rFonts w:ascii="宋体" w:hAnsi="宋体"/>
          <w:sz w:val="24"/>
        </w:rPr>
        <w:t>本协议有效期自</w:t>
      </w:r>
      <w:r>
        <w:rPr>
          <w:rFonts w:ascii="宋体" w:hAnsi="宋体"/>
          <w:b/>
          <w:bCs/>
          <w:sz w:val="24"/>
          <w:u w:val="single"/>
        </w:rPr>
        <w:t>202</w:t>
      </w:r>
      <w:r>
        <w:rPr>
          <w:rFonts w:hint="eastAsia" w:ascii="宋体" w:hAnsi="宋体"/>
          <w:b/>
          <w:bCs/>
          <w:sz w:val="24"/>
          <w:u w:val="single"/>
        </w:rPr>
        <w:t>6</w:t>
      </w:r>
      <w:r>
        <w:rPr>
          <w:rFonts w:ascii="宋体" w:hAnsi="宋体"/>
          <w:b/>
          <w:bCs/>
          <w:sz w:val="24"/>
          <w:u w:val="single"/>
        </w:rPr>
        <w:t>年</w:t>
      </w:r>
      <w:r>
        <w:rPr>
          <w:rFonts w:hint="eastAsia" w:ascii="宋体" w:hAnsi="宋体"/>
          <w:b/>
          <w:bCs/>
          <w:sz w:val="24"/>
          <w:u w:val="single"/>
        </w:rPr>
        <w:t>1</w:t>
      </w:r>
      <w:r>
        <w:rPr>
          <w:rFonts w:ascii="宋体" w:hAnsi="宋体"/>
          <w:b/>
          <w:bCs/>
          <w:sz w:val="24"/>
          <w:u w:val="single"/>
        </w:rPr>
        <w:t>月1日起至2026年</w:t>
      </w:r>
      <w:r>
        <w:rPr>
          <w:rFonts w:hint="eastAsia" w:ascii="宋体" w:hAnsi="宋体"/>
          <w:b/>
          <w:bCs/>
          <w:sz w:val="24"/>
          <w:u w:val="single"/>
        </w:rPr>
        <w:t>12</w:t>
      </w:r>
      <w:r>
        <w:rPr>
          <w:rFonts w:ascii="宋体" w:hAnsi="宋体"/>
          <w:b/>
          <w:bCs/>
          <w:sz w:val="24"/>
          <w:u w:val="single"/>
        </w:rPr>
        <w:t>月31日止</w:t>
      </w:r>
    </w:p>
    <w:p w14:paraId="1230FC81">
      <w:pPr>
        <w:spacing w:before="156" w:beforeLines="50" w:after="156" w:afterLines="50" w:line="360" w:lineRule="auto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七、违约</w:t>
      </w:r>
    </w:p>
    <w:p w14:paraId="7C539BC1">
      <w:pPr>
        <w:spacing w:line="360" w:lineRule="auto"/>
        <w:ind w:firstLine="480" w:firstLineChars="200"/>
        <w:rPr>
          <w:rFonts w:hint="eastAsia" w:ascii="宋体" w:hAnsi="宋体" w:cs="Cambria Math"/>
          <w:sz w:val="24"/>
          <w:szCs w:val="24"/>
        </w:rPr>
      </w:pPr>
      <w:r>
        <w:rPr>
          <w:rFonts w:hint="eastAsia" w:ascii="宋体" w:hAnsi="宋体" w:cs="Cambria Math"/>
          <w:sz w:val="24"/>
          <w:szCs w:val="24"/>
        </w:rPr>
        <w:t>7.1 若乙方未完成本协议约定任务或未履行本协议约定义务，甲方有权单方终止本协议，终止后的相关事宜双方另行商定。</w:t>
      </w:r>
    </w:p>
    <w:p w14:paraId="2E8B327A">
      <w:pPr>
        <w:spacing w:line="360" w:lineRule="auto"/>
        <w:ind w:firstLine="480" w:firstLineChars="200"/>
        <w:rPr>
          <w:rFonts w:hint="eastAsia" w:ascii="宋体" w:hAnsi="宋体" w:cs="Cambria Math"/>
          <w:sz w:val="24"/>
          <w:szCs w:val="24"/>
        </w:rPr>
      </w:pPr>
      <w:r>
        <w:rPr>
          <w:rFonts w:hint="eastAsia" w:ascii="宋体" w:hAnsi="宋体" w:cs="Cambria Math"/>
          <w:sz w:val="24"/>
          <w:szCs w:val="24"/>
        </w:rPr>
        <w:t>7.2 在本协议有效期限内，甲乙双方必须认真遵守本合同各项条款，如有一方违约给对方造成经济损失的，违约方应承担赔偿责任。</w:t>
      </w:r>
    </w:p>
    <w:p w14:paraId="2D1C336F">
      <w:pPr>
        <w:spacing w:before="156" w:beforeLines="50" w:after="156" w:afterLines="50" w:line="360" w:lineRule="auto"/>
        <w:rPr>
          <w:rFonts w:hint="eastAsia"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八、附则</w:t>
      </w:r>
    </w:p>
    <w:p w14:paraId="2DEDFD3F">
      <w:pPr>
        <w:spacing w:before="156" w:beforeLines="50" w:after="156" w:afterLines="50" w:line="360" w:lineRule="auto"/>
        <w:rPr>
          <w:rFonts w:hint="eastAsia" w:ascii="宋体" w:hAnsi="宋体"/>
          <w:b/>
          <w:bCs/>
          <w:sz w:val="24"/>
          <w:szCs w:val="24"/>
        </w:rPr>
      </w:pPr>
      <w:r>
        <w:rPr>
          <w:rFonts w:ascii="宋体" w:hAnsi="宋体"/>
          <w:b/>
          <w:bCs/>
          <w:sz w:val="24"/>
          <w:szCs w:val="24"/>
        </w:rPr>
        <w:t>8.1协议份数</w:t>
      </w:r>
    </w:p>
    <w:p w14:paraId="1E191E26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本协议一式</w:t>
      </w:r>
      <w:r>
        <w:rPr>
          <w:rFonts w:ascii="宋体" w:hAnsi="宋体"/>
          <w:b/>
          <w:bCs/>
          <w:sz w:val="24"/>
          <w:szCs w:val="24"/>
        </w:rPr>
        <w:t>4份</w:t>
      </w:r>
      <w:r>
        <w:rPr>
          <w:rFonts w:ascii="宋体" w:hAnsi="宋体"/>
          <w:sz w:val="24"/>
          <w:szCs w:val="24"/>
        </w:rPr>
        <w:t>，甲方执</w:t>
      </w:r>
      <w:r>
        <w:rPr>
          <w:rFonts w:ascii="宋体" w:hAnsi="宋体"/>
          <w:b/>
          <w:bCs/>
          <w:sz w:val="24"/>
          <w:szCs w:val="24"/>
        </w:rPr>
        <w:t>2份</w:t>
      </w:r>
      <w:r>
        <w:rPr>
          <w:rFonts w:ascii="宋体" w:hAnsi="宋体"/>
          <w:sz w:val="24"/>
          <w:szCs w:val="24"/>
        </w:rPr>
        <w:t>，乙方执</w:t>
      </w:r>
      <w:r>
        <w:rPr>
          <w:rFonts w:ascii="宋体" w:hAnsi="宋体"/>
          <w:b/>
          <w:bCs/>
          <w:sz w:val="24"/>
          <w:szCs w:val="24"/>
        </w:rPr>
        <w:t>2份</w:t>
      </w:r>
      <w:r>
        <w:rPr>
          <w:rFonts w:ascii="宋体" w:hAnsi="宋体"/>
          <w:sz w:val="24"/>
          <w:szCs w:val="24"/>
        </w:rPr>
        <w:t>，自双方盖章之日起生效，各份具有同等法律效力。</w:t>
      </w:r>
    </w:p>
    <w:p w14:paraId="44A65D7D">
      <w:pPr>
        <w:spacing w:before="156" w:beforeLines="50" w:after="156" w:afterLines="50" w:line="360" w:lineRule="auto"/>
        <w:rPr>
          <w:rFonts w:hint="eastAsia" w:ascii="宋体" w:hAnsi="宋体"/>
          <w:b/>
          <w:bCs/>
          <w:sz w:val="24"/>
          <w:szCs w:val="24"/>
        </w:rPr>
      </w:pPr>
      <w:r>
        <w:rPr>
          <w:rFonts w:ascii="宋体" w:hAnsi="宋体"/>
          <w:b/>
          <w:bCs/>
          <w:sz w:val="24"/>
          <w:szCs w:val="24"/>
        </w:rPr>
        <w:t>8.2补充协议</w:t>
      </w:r>
    </w:p>
    <w:p w14:paraId="3D5D5B67">
      <w:pPr>
        <w:spacing w:line="360" w:lineRule="auto"/>
        <w:ind w:firstLine="480" w:firstLineChars="200"/>
        <w:rPr>
          <w:rFonts w:hint="eastAsia" w:ascii="微软雅黑" w:hAnsi="微软雅黑" w:eastAsia="微软雅黑"/>
          <w:sz w:val="20"/>
          <w:szCs w:val="20"/>
        </w:rPr>
      </w:pPr>
      <w:r>
        <w:rPr>
          <w:rFonts w:ascii="宋体" w:hAnsi="宋体"/>
          <w:sz w:val="24"/>
          <w:szCs w:val="24"/>
        </w:rPr>
        <w:t>本协议未尽事宜，双方需遵循 “协商一致” 原则签订补充协议，补充协议与本协议具有同等法律效力；若补充协议与本协议条款冲突，以补充协议为准。</w:t>
      </w:r>
    </w:p>
    <w:p w14:paraId="418853D6">
      <w:pPr>
        <w:spacing w:before="156" w:beforeLines="50" w:after="156" w:afterLines="50" w:line="360" w:lineRule="auto"/>
        <w:rPr>
          <w:rFonts w:hint="eastAsia" w:ascii="宋体" w:hAnsi="宋体"/>
          <w:b/>
          <w:bCs/>
          <w:sz w:val="24"/>
          <w:szCs w:val="24"/>
        </w:rPr>
      </w:pPr>
      <w:r>
        <w:rPr>
          <w:rFonts w:ascii="宋体" w:hAnsi="宋体"/>
          <w:b/>
          <w:bCs/>
          <w:sz w:val="24"/>
          <w:szCs w:val="24"/>
        </w:rPr>
        <w:t>8.3争议解决</w:t>
      </w:r>
    </w:p>
    <w:p w14:paraId="26051548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因本协议产生的争议，双方应首先通过友好协商解决；协商不成的，任何一方均有权</w:t>
      </w:r>
      <w:r>
        <w:rPr>
          <w:rFonts w:ascii="宋体" w:hAnsi="宋体"/>
          <w:b/>
          <w:bCs/>
          <w:sz w:val="24"/>
          <w:szCs w:val="24"/>
        </w:rPr>
        <w:t>向甲方所在地有管辖权的人民法院</w:t>
      </w:r>
      <w:r>
        <w:rPr>
          <w:rFonts w:ascii="宋体" w:hAnsi="宋体"/>
          <w:sz w:val="24"/>
          <w:szCs w:val="24"/>
        </w:rPr>
        <w:t>提起诉讼。</w:t>
      </w:r>
    </w:p>
    <w:p w14:paraId="2C0E2B26">
      <w:pPr>
        <w:spacing w:before="156" w:beforeLines="50" w:after="156" w:afterLines="50" w:line="360" w:lineRule="auto"/>
        <w:rPr>
          <w:rFonts w:hint="eastAsia" w:ascii="宋体" w:hAnsi="宋体"/>
          <w:b/>
          <w:bCs/>
          <w:sz w:val="24"/>
          <w:szCs w:val="24"/>
        </w:rPr>
      </w:pPr>
      <w:r>
        <w:rPr>
          <w:rFonts w:ascii="宋体" w:hAnsi="宋体"/>
          <w:b/>
          <w:bCs/>
          <w:sz w:val="24"/>
          <w:szCs w:val="24"/>
        </w:rPr>
        <w:t>8.4附件效力</w:t>
      </w:r>
    </w:p>
    <w:p w14:paraId="369A08ED">
      <w:pPr>
        <w:spacing w:line="360" w:lineRule="auto"/>
        <w:ind w:firstLine="480" w:firstLineChars="200"/>
        <w:rPr>
          <w:rFonts w:hint="eastAsia" w:ascii="微软雅黑" w:hAnsi="微软雅黑" w:eastAsia="微软雅黑"/>
          <w:sz w:val="20"/>
          <w:szCs w:val="20"/>
        </w:rPr>
      </w:pPr>
      <w:r>
        <w:rPr>
          <w:rFonts w:ascii="宋体" w:hAnsi="宋体"/>
          <w:sz w:val="24"/>
          <w:szCs w:val="24"/>
        </w:rPr>
        <w:t>本协议附件《202</w:t>
      </w:r>
      <w:r>
        <w:rPr>
          <w:rFonts w:hint="eastAsia" w:ascii="宋体" w:hAnsi="宋体"/>
          <w:sz w:val="24"/>
          <w:szCs w:val="24"/>
          <w:lang w:val="en-US" w:eastAsia="zh-CN"/>
        </w:rPr>
        <w:t>6</w:t>
      </w:r>
      <w:r>
        <w:rPr>
          <w:rFonts w:ascii="宋体" w:hAnsi="宋体"/>
          <w:sz w:val="24"/>
          <w:szCs w:val="24"/>
        </w:rPr>
        <w:t>年年度服务协议》）为本协议不可分割的组成部分，与本协议具有同等法律效力。</w:t>
      </w:r>
      <w:bookmarkEnd w:id="0"/>
    </w:p>
    <w:p w14:paraId="4E5547CF">
      <w:pPr>
        <w:spacing w:line="360" w:lineRule="auto"/>
        <w:rPr>
          <w:rFonts w:hint="eastAsia" w:ascii="微软雅黑" w:hAnsi="微软雅黑" w:eastAsia="微软雅黑"/>
          <w:sz w:val="20"/>
          <w:szCs w:val="20"/>
        </w:rPr>
      </w:pPr>
    </w:p>
    <w:tbl>
      <w:tblPr>
        <w:tblStyle w:val="15"/>
        <w:tblW w:w="861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34"/>
        <w:gridCol w:w="4482"/>
      </w:tblGrid>
      <w:tr w14:paraId="09EA9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134" w:type="dxa"/>
          </w:tcPr>
          <w:p w14:paraId="38B0B6A1">
            <w:pPr>
              <w:spacing w:line="360" w:lineRule="auto"/>
              <w:ind w:right="-189" w:rightChars="-90"/>
              <w:rPr>
                <w:rFonts w:hint="eastAsia" w:ascii="宋体" w:hAnsi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/>
                <w:sz w:val="24"/>
                <w:szCs w:val="24"/>
                <w:u w:val="single"/>
              </w:rPr>
              <w:t>甲方：重庆海斯曼药业有限责任公司</w:t>
            </w:r>
          </w:p>
          <w:p w14:paraId="6E5AFD93">
            <w:pPr>
              <w:spacing w:line="360" w:lineRule="auto"/>
              <w:ind w:right="-189" w:rightChars="-9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签约代表：</w:t>
            </w:r>
          </w:p>
          <w:p w14:paraId="33BEEE5C">
            <w:pPr>
              <w:spacing w:line="360" w:lineRule="auto"/>
              <w:ind w:right="-189" w:rightChars="-90"/>
              <w:rPr>
                <w:rFonts w:hint="eastAsia" w:ascii="宋体" w:hAnsi="宋体"/>
                <w:sz w:val="24"/>
                <w:szCs w:val="24"/>
              </w:rPr>
            </w:pPr>
          </w:p>
          <w:p w14:paraId="3ECAFFEF">
            <w:pPr>
              <w:spacing w:line="360" w:lineRule="auto"/>
              <w:ind w:right="-189" w:rightChars="-90"/>
              <w:rPr>
                <w:rFonts w:hint="eastAsia" w:ascii="宋体" w:hAnsi="宋体"/>
                <w:sz w:val="24"/>
                <w:szCs w:val="24"/>
              </w:rPr>
            </w:pPr>
          </w:p>
          <w:p w14:paraId="0CC95CBA">
            <w:pPr>
              <w:spacing w:line="360" w:lineRule="auto"/>
              <w:ind w:right="-189" w:rightChars="-9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盖章：</w:t>
            </w:r>
          </w:p>
          <w:p w14:paraId="23F70A70">
            <w:pPr>
              <w:spacing w:line="360" w:lineRule="auto"/>
              <w:ind w:right="-189" w:rightChars="-90"/>
              <w:rPr>
                <w:rFonts w:hint="eastAsia" w:ascii="宋体" w:hAnsi="宋体"/>
                <w:sz w:val="24"/>
                <w:szCs w:val="24"/>
              </w:rPr>
            </w:pPr>
          </w:p>
          <w:p w14:paraId="57582D5F">
            <w:pPr>
              <w:spacing w:line="360" w:lineRule="auto"/>
              <w:ind w:right="-189" w:rightChars="-90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4482" w:type="dxa"/>
          </w:tcPr>
          <w:p w14:paraId="6CD188AD">
            <w:pPr>
              <w:spacing w:line="360" w:lineRule="auto"/>
              <w:ind w:right="-189" w:rightChars="-9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u w:val="single"/>
              </w:rPr>
              <w:t>乙方：xxx医药连锁集团股份有限公司</w:t>
            </w:r>
          </w:p>
          <w:p w14:paraId="3D7535A8">
            <w:pPr>
              <w:spacing w:line="360" w:lineRule="auto"/>
              <w:ind w:right="-189" w:rightChars="-9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签约代表：</w:t>
            </w:r>
          </w:p>
          <w:p w14:paraId="54983B95">
            <w:pPr>
              <w:spacing w:line="360" w:lineRule="auto"/>
              <w:ind w:right="-189" w:rightChars="-90"/>
              <w:rPr>
                <w:rFonts w:hint="eastAsia" w:ascii="宋体" w:hAnsi="宋体"/>
                <w:sz w:val="24"/>
                <w:szCs w:val="24"/>
              </w:rPr>
            </w:pPr>
          </w:p>
          <w:p w14:paraId="6F329CE4">
            <w:pPr>
              <w:spacing w:line="360" w:lineRule="auto"/>
              <w:ind w:right="-189" w:rightChars="-90"/>
              <w:rPr>
                <w:rFonts w:hint="eastAsia" w:ascii="宋体" w:hAnsi="宋体"/>
                <w:sz w:val="24"/>
                <w:szCs w:val="24"/>
              </w:rPr>
            </w:pPr>
          </w:p>
          <w:p w14:paraId="03B9C7E6">
            <w:pPr>
              <w:spacing w:line="360" w:lineRule="auto"/>
              <w:ind w:right="-189" w:rightChars="-9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盖章：</w:t>
            </w:r>
          </w:p>
          <w:p w14:paraId="093679C8">
            <w:pPr>
              <w:spacing w:line="360" w:lineRule="auto"/>
              <w:ind w:right="-189" w:rightChars="-90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5FB1F3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134" w:type="dxa"/>
          </w:tcPr>
          <w:p w14:paraId="0873CFB1">
            <w:pPr>
              <w:spacing w:line="360" w:lineRule="auto"/>
              <w:ind w:right="-189" w:rightChars="-90"/>
              <w:rPr>
                <w:rFonts w:hint="eastAsia" w:ascii="宋体" w:hAnsi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/>
                <w:sz w:val="24"/>
                <w:szCs w:val="24"/>
                <w:u w:val="single"/>
              </w:rPr>
              <w:t>签约日期：</w:t>
            </w:r>
          </w:p>
        </w:tc>
        <w:tc>
          <w:tcPr>
            <w:tcW w:w="4482" w:type="dxa"/>
          </w:tcPr>
          <w:p w14:paraId="5DF373E5">
            <w:pPr>
              <w:spacing w:line="360" w:lineRule="auto"/>
              <w:ind w:right="-189" w:rightChars="-90"/>
              <w:rPr>
                <w:rFonts w:hint="eastAsia" w:ascii="宋体" w:hAnsi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/>
                <w:sz w:val="24"/>
                <w:szCs w:val="24"/>
                <w:u w:val="single"/>
              </w:rPr>
              <w:t>签约日期：</w:t>
            </w:r>
          </w:p>
        </w:tc>
      </w:tr>
    </w:tbl>
    <w:p w14:paraId="48DE2BBC"/>
    <w:p w14:paraId="7F8DCAFA"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9169713"/>
      <w:placeholder>
        <w:docPart w:val="F9D34E928D9842299FD6838F6DF0760E"/>
      </w:placeholder>
      <w:temporary/>
      <w:showingPlcHdr/>
      <w15:appearance w15:val="hidden"/>
    </w:sdtPr>
    <w:sdtContent>
      <w:p w14:paraId="69E3D655">
        <w:pPr>
          <w:pStyle w:val="11"/>
          <w:rPr>
            <w:rFonts w:hint="eastAsia"/>
          </w:rPr>
        </w:pPr>
        <w:r>
          <w:rPr>
            <w:lang w:val="zh-CN"/>
          </w:rPr>
          <w:t>[在此处键入]</w:t>
        </w:r>
      </w:p>
    </w:sdtContent>
  </w:sdt>
  <w:p w14:paraId="13BAA329">
    <w:pPr>
      <w:pStyle w:val="11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E1D30D">
    <w:pPr>
      <w:pStyle w:val="11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028E35">
    <w:pPr>
      <w:pStyle w:val="11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274B22">
    <w:pPr>
      <w:pStyle w:val="12"/>
      <w:jc w:val="left"/>
      <w:rPr>
        <w:rFonts w:hint="eastAsia"/>
      </w:rPr>
    </w:pPr>
    <w:r>
      <w:rPr>
        <w:rFonts w:hint="eastAsia"/>
      </w:rPr>
      <w:t>协议编号：</w:t>
    </w:r>
  </w:p>
  <w:p w14:paraId="71D0CE8F">
    <w:pPr>
      <w:pStyle w:val="12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9A5D93">
    <w:pPr>
      <w:pStyle w:val="12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E1CCD3">
    <w:pPr>
      <w:pStyle w:val="12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C7E"/>
    <w:rsid w:val="00097288"/>
    <w:rsid w:val="000F792E"/>
    <w:rsid w:val="0016628D"/>
    <w:rsid w:val="006B4234"/>
    <w:rsid w:val="00717C7E"/>
    <w:rsid w:val="00960E0E"/>
    <w:rsid w:val="00AD0699"/>
    <w:rsid w:val="00B469B7"/>
    <w:rsid w:val="00D51352"/>
    <w:rsid w:val="00D9116F"/>
    <w:rsid w:val="05262C24"/>
    <w:rsid w:val="1E126D93"/>
    <w:rsid w:val="5999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asciiTheme="minorHAnsi" w:hAnsiTheme="minorHAnsi" w:eastAsiaTheme="minorEastAsia" w:cstheme="majorBidi"/>
      <w:color w:val="2F5597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asciiTheme="minorHAnsi" w:hAnsiTheme="minorHAnsi" w:eastAsiaTheme="minorEastAsia" w:cstheme="majorBidi"/>
      <w:color w:val="2F5597" w:themeColor="accent1" w:themeShade="BF"/>
      <w:sz w:val="24"/>
      <w:szCs w:val="24"/>
      <w14:ligatures w14:val="standardContextual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asciiTheme="minorHAnsi" w:hAnsiTheme="minorHAnsi" w:eastAsiaTheme="minorEastAsia" w:cstheme="majorBidi"/>
      <w:b/>
      <w:bCs/>
      <w:color w:val="2F5597" w:themeColor="accent1" w:themeShade="BF"/>
      <w:sz w:val="22"/>
      <w:szCs w:val="24"/>
      <w14:ligatures w14:val="standardContextual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asciiTheme="minorHAnsi" w:hAnsiTheme="minorHAnsi" w:eastAsiaTheme="min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asciiTheme="minorHAnsi" w:hAnsiTheme="minorHAnsi" w:eastAsiaTheme="maj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7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13">
    <w:name w:val="Subtitle"/>
    <w:basedOn w:val="1"/>
    <w:next w:val="1"/>
    <w:link w:val="28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table" w:styleId="16">
    <w:name w:val="Table Grid"/>
    <w:basedOn w:val="15"/>
    <w:qFormat/>
    <w:uiPriority w:val="0"/>
    <w:pPr>
      <w:spacing w:after="0" w:line="240" w:lineRule="auto"/>
    </w:pPr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uiPriority w:val="9"/>
    <w:rPr>
      <w:rFonts w:cstheme="majorBidi"/>
      <w:color w:val="2F5597" w:themeColor="accent1" w:themeShade="BF"/>
      <w:sz w:val="24"/>
    </w:rPr>
  </w:style>
  <w:style w:type="character" w:customStyle="1" w:styleId="23">
    <w:name w:val="标题 6 字符"/>
    <w:basedOn w:val="17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 w:line="278" w:lineRule="auto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 w:val="22"/>
      <w:szCs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0">
    <w:name w:val="引用 字符"/>
    <w:basedOn w:val="17"/>
    <w:link w:val="29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99"/>
    <w:pPr>
      <w:spacing w:after="160" w:line="278" w:lineRule="auto"/>
      <w:ind w:left="720"/>
      <w:contextualSpacing/>
      <w:jc w:val="left"/>
    </w:pPr>
    <w:rPr>
      <w:rFonts w:asciiTheme="minorHAnsi" w:hAnsiTheme="minorHAnsi" w:eastAsiaTheme="minorEastAsia" w:cstheme="minorBidi"/>
      <w:sz w:val="22"/>
      <w:szCs w:val="24"/>
      <w14:ligatures w14:val="standardContextual"/>
    </w:r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EastAsia" w:cstheme="minorBidi"/>
      <w:i/>
      <w:iCs/>
      <w:color w:val="2F5597" w:themeColor="accent1" w:themeShade="BF"/>
      <w:sz w:val="22"/>
      <w:szCs w:val="24"/>
      <w14:ligatures w14:val="standardContextual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glossaryDocument" Target="glossary/document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F9D34E928D9842299FD6838F6DF0760E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5CD141D-74EC-4A0D-AB85-FFBB4D0ABA71}"/>
      </w:docPartPr>
      <w:docPartBody>
        <w:p w14:paraId="30ACF1F1">
          <w:pPr>
            <w:pStyle w:val="4"/>
            <w:rPr>
              <w:rFonts w:hint="eastAsia"/>
            </w:rPr>
          </w:pPr>
          <w:r>
            <w:rPr>
              <w:lang w:val="zh-CN"/>
            </w:rPr>
            <w:t>[在此处键入]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14A"/>
    <w:rsid w:val="00427893"/>
    <w:rsid w:val="0044514A"/>
    <w:rsid w:val="005F7A47"/>
    <w:rsid w:val="006B4234"/>
    <w:rsid w:val="006E6C01"/>
    <w:rsid w:val="00960E0E"/>
    <w:rsid w:val="00A72D14"/>
    <w:rsid w:val="00D9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uiPriority="99" w:name="Normal Table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F9D34E928D9842299FD6838F6DF0760E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1663</Words>
  <Characters>1744</Characters>
  <Lines>68</Lines>
  <Paragraphs>80</Paragraphs>
  <TotalTime>0</TotalTime>
  <ScaleCrop>false</ScaleCrop>
  <LinksUpToDate>false</LinksUpToDate>
  <CharactersWithSpaces>1757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2025-12-10T06:09:00Z</dcterms:created>
  <dc:creator>思颖 李</dc:creator>
  <cp:lastModifiedBy>JK</cp:lastModifiedBy>
  <dcterms:modified xsi:type="dcterms:W3CDTF">2026-06-26T01:07:54Z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eyJoZGlkIjoiZjk5YjI4ODgzOTg1NmM2ODI5MTkwNGRiMTRmNWJjN2QiLCJ1c2VySWQiOiIxNjE5OTg5ODA1In0=</vt:lpwstr>
  </property>
  <property fmtid="{D5CDD505-2E9C-101B-9397-08002B2CF9AE}" pid="3" name="KSOProductBuildVer">
    <vt:lpwstr>2052-12.1.0.26895</vt:lpwstr>
  </property>
  <property fmtid="{D5CDD505-2E9C-101B-9397-08002B2CF9AE}" pid="4" name="ICV">
    <vt:lpwstr>BD675605B1C048D3918692590DA040DC_13</vt:lpwstr>
  </property>
</Properties>
</file>